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14" w:rsidRDefault="00BE5C14" w:rsidP="00D211C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НАУКИ РОССИЙСКОЙ ФЕДЕРАЦИИ</w:t>
      </w:r>
    </w:p>
    <w:p w:rsidR="00BE5C14" w:rsidRDefault="00BE5C14" w:rsidP="00D211C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Федеральное государственное автономное </w:t>
      </w:r>
    </w:p>
    <w:p w:rsidR="00BE5C14" w:rsidRDefault="00BE5C14" w:rsidP="00D211CE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u w:val="single"/>
        </w:rPr>
        <w:t xml:space="preserve"> </w:t>
      </w:r>
    </w:p>
    <w:p w:rsidR="00BE5C14" w:rsidRDefault="00BE5C14" w:rsidP="00D211C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«Национальный исследовательский Нижегородский государственный университет им. Н.И. Лобачевского»</w:t>
      </w:r>
    </w:p>
    <w:p w:rsidR="00BE5C14" w:rsidRDefault="00BE5C14" w:rsidP="00D211CE">
      <w:pPr>
        <w:jc w:val="center"/>
        <w:rPr>
          <w:rFonts w:ascii="Times New Roman" w:hAnsi="Times New Roman"/>
          <w:b/>
          <w:sz w:val="24"/>
        </w:rPr>
      </w:pPr>
    </w:p>
    <w:p w:rsidR="00BE5C14" w:rsidRDefault="00BE5C14" w:rsidP="00D211CE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jc w:val="center"/>
        <w:tblInd w:w="468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BE5C14" w:rsidRPr="008C0E94" w:rsidTr="00011759">
        <w:trPr>
          <w:trHeight w:val="328"/>
          <w:jc w:val="center"/>
        </w:trPr>
        <w:tc>
          <w:tcPr>
            <w:tcW w:w="8820" w:type="dxa"/>
            <w:tcMar>
              <w:left w:w="108" w:type="dxa"/>
              <w:right w:w="108" w:type="dxa"/>
            </w:tcMar>
            <w:vAlign w:val="center"/>
          </w:tcPr>
          <w:p w:rsidR="00BE5C14" w:rsidRPr="008C0E94" w:rsidRDefault="00D211CE" w:rsidP="00D211CE">
            <w:pPr>
              <w:jc w:val="center"/>
            </w:pPr>
            <w:r>
              <w:rPr>
                <w:rFonts w:ascii="Times New Roman" w:hAnsi="Times New Roman"/>
                <w:sz w:val="28"/>
              </w:rPr>
              <w:t>Р</w:t>
            </w:r>
            <w:r w:rsidR="00BE5C14">
              <w:rPr>
                <w:rFonts w:ascii="Times New Roman" w:hAnsi="Times New Roman"/>
                <w:sz w:val="28"/>
              </w:rPr>
              <w:t>адиофизический</w:t>
            </w:r>
            <w:r>
              <w:rPr>
                <w:rFonts w:ascii="Times New Roman" w:hAnsi="Times New Roman"/>
                <w:sz w:val="28"/>
              </w:rPr>
              <w:t xml:space="preserve"> факультет</w:t>
            </w:r>
          </w:p>
        </w:tc>
      </w:tr>
    </w:tbl>
    <w:p w:rsidR="00BE5C14" w:rsidRDefault="00BE5C14" w:rsidP="00D211CE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(факультет / институт / филиал)</w:t>
      </w:r>
    </w:p>
    <w:p w:rsidR="00BE5C14" w:rsidRDefault="00BE5C14" w:rsidP="00D211CE">
      <w:pPr>
        <w:tabs>
          <w:tab w:val="left" w:pos="5670"/>
        </w:tabs>
        <w:ind w:left="5670" w:hanging="567"/>
        <w:rPr>
          <w:rFonts w:ascii="Times New Roman" w:hAnsi="Times New Roman"/>
          <w:sz w:val="24"/>
        </w:rPr>
      </w:pPr>
    </w:p>
    <w:p w:rsidR="00D211CE" w:rsidRDefault="00D211CE" w:rsidP="00D211CE">
      <w:pPr>
        <w:jc w:val="right"/>
        <w:rPr>
          <w:rFonts w:ascii="Times New Roman" w:hAnsi="Times New Roman"/>
          <w:sz w:val="28"/>
          <w:szCs w:val="28"/>
        </w:rPr>
      </w:pPr>
      <w:r w:rsidRPr="00A14424">
        <w:rPr>
          <w:rFonts w:ascii="Times New Roman" w:hAnsi="Times New Roman"/>
          <w:sz w:val="28"/>
          <w:szCs w:val="28"/>
        </w:rPr>
        <w:t>УТВЕРЖДАЮ</w:t>
      </w:r>
    </w:p>
    <w:p w:rsidR="00D211CE" w:rsidRDefault="00D211CE" w:rsidP="00D211CE">
      <w:pPr>
        <w:jc w:val="right"/>
        <w:rPr>
          <w:rFonts w:ascii="Times New Roman" w:hAnsi="Times New Roman"/>
          <w:sz w:val="28"/>
          <w:szCs w:val="28"/>
        </w:rPr>
      </w:pPr>
    </w:p>
    <w:p w:rsidR="00D211CE" w:rsidRDefault="00D211CE" w:rsidP="00D211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Декан______________Матросов В.В.</w:t>
      </w:r>
    </w:p>
    <w:p w:rsidR="00D211CE" w:rsidRDefault="00D211CE" w:rsidP="00D211CE">
      <w:pPr>
        <w:jc w:val="right"/>
        <w:rPr>
          <w:rFonts w:ascii="Times New Roman" w:hAnsi="Times New Roman"/>
          <w:sz w:val="28"/>
          <w:szCs w:val="28"/>
        </w:rPr>
      </w:pPr>
    </w:p>
    <w:p w:rsidR="00D211CE" w:rsidRPr="00A14424" w:rsidRDefault="00D211CE" w:rsidP="00D211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августа </w:t>
      </w:r>
      <w:r w:rsidR="0015106F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E5C14" w:rsidRDefault="00BE5C14" w:rsidP="00D211CE">
      <w:pPr>
        <w:tabs>
          <w:tab w:val="left" w:pos="5670"/>
        </w:tabs>
        <w:ind w:left="5670" w:hanging="567"/>
        <w:rPr>
          <w:rFonts w:ascii="Times New Roman" w:hAnsi="Times New Roman"/>
          <w:sz w:val="28"/>
        </w:rPr>
      </w:pPr>
    </w:p>
    <w:p w:rsidR="00BE5C14" w:rsidRDefault="00BE5C14" w:rsidP="00D211C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Рабочая программа дисциплины (модуля)</w:t>
      </w:r>
    </w:p>
    <w:p w:rsidR="00011759" w:rsidRDefault="00011759" w:rsidP="00D211CE">
      <w:pPr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jc w:val="center"/>
        <w:tblInd w:w="-8" w:type="dxa"/>
        <w:tblCellMar>
          <w:left w:w="10" w:type="dxa"/>
          <w:right w:w="10" w:type="dxa"/>
        </w:tblCellMar>
        <w:tblLook w:val="0000"/>
      </w:tblPr>
      <w:tblGrid>
        <w:gridCol w:w="9924"/>
      </w:tblGrid>
      <w:tr w:rsidR="00BE5C14" w:rsidRPr="008C0E94" w:rsidTr="00011759">
        <w:trPr>
          <w:trHeight w:val="328"/>
          <w:jc w:val="center"/>
        </w:trPr>
        <w:tc>
          <w:tcPr>
            <w:tcW w:w="9924" w:type="dxa"/>
            <w:tcMar>
              <w:left w:w="108" w:type="dxa"/>
              <w:right w:w="108" w:type="dxa"/>
            </w:tcMar>
            <w:vAlign w:val="center"/>
          </w:tcPr>
          <w:p w:rsidR="00BE5C14" w:rsidRPr="008C0E94" w:rsidRDefault="00BE5C14" w:rsidP="00D211CE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Современные методы спектрального анализа</w:t>
            </w:r>
          </w:p>
        </w:tc>
      </w:tr>
    </w:tbl>
    <w:p w:rsidR="00BE5C14" w:rsidRDefault="00BE5C14" w:rsidP="00D211CE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дисциплины (модуля))</w:t>
      </w: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BE5C14" w:rsidRDefault="00BE5C14" w:rsidP="00D211C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высшего образования</w:t>
      </w:r>
    </w:p>
    <w:tbl>
      <w:tblPr>
        <w:tblW w:w="0" w:type="auto"/>
        <w:jc w:val="center"/>
        <w:tblInd w:w="2448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BE5C14" w:rsidRPr="008C0E94" w:rsidTr="00011759">
        <w:trPr>
          <w:trHeight w:val="328"/>
          <w:jc w:val="center"/>
        </w:trPr>
        <w:tc>
          <w:tcPr>
            <w:tcW w:w="4860" w:type="dxa"/>
            <w:tcMar>
              <w:left w:w="108" w:type="dxa"/>
              <w:right w:w="108" w:type="dxa"/>
            </w:tcMar>
            <w:vAlign w:val="center"/>
          </w:tcPr>
          <w:p w:rsidR="00BE5C14" w:rsidRPr="008C0E94" w:rsidRDefault="00BE5C14" w:rsidP="00D211CE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специалитет</w:t>
            </w:r>
          </w:p>
        </w:tc>
      </w:tr>
    </w:tbl>
    <w:p w:rsidR="00BE5C14" w:rsidRDefault="00BE5C14" w:rsidP="00D211CE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(бакалавриат / магистратура / специалитет)</w:t>
      </w: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BE5C14" w:rsidRDefault="00BE5C14" w:rsidP="00D211C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подготовки / специальность</w:t>
      </w:r>
    </w:p>
    <w:tbl>
      <w:tblPr>
        <w:tblW w:w="0" w:type="auto"/>
        <w:jc w:val="center"/>
        <w:tblInd w:w="468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BE5C14" w:rsidRPr="008C0E94" w:rsidTr="00011759">
        <w:trPr>
          <w:trHeight w:val="328"/>
          <w:jc w:val="center"/>
        </w:trPr>
        <w:tc>
          <w:tcPr>
            <w:tcW w:w="8820" w:type="dxa"/>
            <w:tcMar>
              <w:left w:w="108" w:type="dxa"/>
              <w:right w:w="108" w:type="dxa"/>
            </w:tcMar>
            <w:vAlign w:val="center"/>
          </w:tcPr>
          <w:p w:rsidR="00BE5C14" w:rsidRPr="008C0E94" w:rsidRDefault="00BE5C14" w:rsidP="00D211CE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11.05.02 «Специальные радиотехнические системы»</w:t>
            </w:r>
          </w:p>
        </w:tc>
      </w:tr>
    </w:tbl>
    <w:p w:rsidR="00BE5C14" w:rsidRDefault="00BE5C14" w:rsidP="00D211CE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(указывается код и наименование направления подготовки / специальности)</w:t>
      </w: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BE5C14" w:rsidRDefault="00BE5C14" w:rsidP="00D211C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Специализация </w:t>
      </w:r>
    </w:p>
    <w:p w:rsidR="00BE5C14" w:rsidRPr="00D211CE" w:rsidRDefault="00BE5C14" w:rsidP="00D211CE">
      <w:pPr>
        <w:jc w:val="center"/>
        <w:rPr>
          <w:rFonts w:ascii="Times New Roman" w:hAnsi="Times New Roman"/>
          <w:sz w:val="18"/>
        </w:rPr>
      </w:pPr>
      <w:r w:rsidRPr="00D211CE">
        <w:rPr>
          <w:rFonts w:ascii="Times New Roman" w:hAnsi="Times New Roman"/>
          <w:sz w:val="28"/>
        </w:rPr>
        <w:t>«</w:t>
      </w:r>
      <w:r w:rsidRPr="00D211CE">
        <w:rPr>
          <w:rFonts w:ascii="Times New Roman" w:hAnsi="Times New Roman"/>
          <w:b/>
          <w:sz w:val="28"/>
        </w:rPr>
        <w:t>Радиотехнические системы и комплексы специального назначения</w:t>
      </w:r>
      <w:r w:rsidRPr="00D211CE">
        <w:rPr>
          <w:rFonts w:ascii="Times New Roman" w:hAnsi="Times New Roman"/>
          <w:sz w:val="28"/>
        </w:rPr>
        <w:t>»</w:t>
      </w:r>
      <w:r w:rsidRPr="00D211CE">
        <w:rPr>
          <w:rFonts w:ascii="Times New Roman" w:hAnsi="Times New Roman"/>
          <w:sz w:val="18"/>
        </w:rPr>
        <w:t xml:space="preserve"> </w:t>
      </w:r>
    </w:p>
    <w:p w:rsidR="00BE5C14" w:rsidRDefault="00BE5C14" w:rsidP="00D211CE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профиль / магистерская программа / специализация)</w:t>
      </w: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BE5C14" w:rsidRDefault="00BE5C14" w:rsidP="00D211C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Квалификация (степень)</w:t>
      </w:r>
    </w:p>
    <w:tbl>
      <w:tblPr>
        <w:tblW w:w="0" w:type="auto"/>
        <w:jc w:val="center"/>
        <w:tblInd w:w="2448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BE5C14" w:rsidRPr="008C0E94" w:rsidTr="00011759">
        <w:trPr>
          <w:trHeight w:val="328"/>
          <w:jc w:val="center"/>
        </w:trPr>
        <w:tc>
          <w:tcPr>
            <w:tcW w:w="4860" w:type="dxa"/>
            <w:tcMar>
              <w:left w:w="108" w:type="dxa"/>
              <w:right w:w="108" w:type="dxa"/>
            </w:tcMar>
            <w:vAlign w:val="center"/>
          </w:tcPr>
          <w:p w:rsidR="00BE5C14" w:rsidRPr="008C0E94" w:rsidRDefault="00BE5C14" w:rsidP="00D211CE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специалист</w:t>
            </w:r>
          </w:p>
        </w:tc>
      </w:tr>
    </w:tbl>
    <w:p w:rsidR="00BE5C14" w:rsidRDefault="00BE5C14" w:rsidP="00D211CE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(бакалавр / магистр / специалист)</w:t>
      </w: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BE5C14" w:rsidRDefault="00BE5C14" w:rsidP="00D211C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</w:t>
      </w:r>
    </w:p>
    <w:tbl>
      <w:tblPr>
        <w:tblW w:w="0" w:type="auto"/>
        <w:jc w:val="center"/>
        <w:tblInd w:w="2448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BE5C14" w:rsidRPr="008C0E94" w:rsidTr="00011759">
        <w:trPr>
          <w:trHeight w:val="328"/>
          <w:jc w:val="center"/>
        </w:trPr>
        <w:tc>
          <w:tcPr>
            <w:tcW w:w="4860" w:type="dxa"/>
            <w:tcMar>
              <w:left w:w="108" w:type="dxa"/>
              <w:right w:w="108" w:type="dxa"/>
            </w:tcMar>
            <w:vAlign w:val="center"/>
          </w:tcPr>
          <w:p w:rsidR="00BE5C14" w:rsidRPr="008C0E94" w:rsidRDefault="00BE5C14" w:rsidP="00D211CE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очная</w:t>
            </w:r>
          </w:p>
        </w:tc>
      </w:tr>
    </w:tbl>
    <w:p w:rsidR="00BE5C14" w:rsidRDefault="00BE5C14" w:rsidP="00D211CE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(очная / очно-заочная / заочная)</w:t>
      </w:r>
    </w:p>
    <w:p w:rsidR="00BE5C14" w:rsidRDefault="00BE5C14" w:rsidP="00D211CE">
      <w:pPr>
        <w:jc w:val="center"/>
        <w:rPr>
          <w:rFonts w:ascii="Times New Roman" w:hAnsi="Times New Roman"/>
          <w:sz w:val="28"/>
        </w:rPr>
      </w:pP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D211CE" w:rsidRDefault="00D211CE" w:rsidP="00D211CE">
      <w:pPr>
        <w:jc w:val="center"/>
        <w:rPr>
          <w:rFonts w:ascii="Times New Roman" w:hAnsi="Times New Roman"/>
          <w:sz w:val="28"/>
        </w:rPr>
      </w:pPr>
    </w:p>
    <w:p w:rsidR="00BE5C14" w:rsidRDefault="00BE5C14" w:rsidP="0001175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Нижний Новгород</w:t>
      </w:r>
    </w:p>
    <w:p w:rsidR="00BE5C14" w:rsidRDefault="0015106F" w:rsidP="0001175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</w:t>
      </w:r>
    </w:p>
    <w:p w:rsidR="00BE5C14" w:rsidRDefault="00D211CE" w:rsidP="00D211CE">
      <w:pPr>
        <w:ind w:right="-2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 w:rsidR="00837405">
        <w:rPr>
          <w:rFonts w:ascii="Times New Roman" w:hAnsi="Times New Roman"/>
          <w:b/>
          <w:sz w:val="24"/>
        </w:rPr>
        <w:lastRenderedPageBreak/>
        <w:t>1.</w:t>
      </w:r>
      <w:r w:rsidR="00BE5C14">
        <w:rPr>
          <w:rFonts w:ascii="Times New Roman" w:hAnsi="Times New Roman"/>
          <w:b/>
          <w:sz w:val="24"/>
        </w:rPr>
        <w:t xml:space="preserve"> Место дисциплины (модуля) в структуре ОПОП </w:t>
      </w: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дисциплина относится к вариативной части ОПОП и необязательна для освоения в 8 семестре 4 года обучения (электив).</w:t>
      </w: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b/>
          <w:sz w:val="28"/>
        </w:rPr>
      </w:pP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Целями  освоения дисциплины являются</w:t>
      </w:r>
      <w:r>
        <w:rPr>
          <w:rFonts w:ascii="Times New Roman" w:hAnsi="Times New Roman"/>
          <w:sz w:val="24"/>
        </w:rPr>
        <w:t>:</w:t>
      </w: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знакомство студентов с современными методами цифровых спектральных измерений, включая классические и параметрические методы оценки спектральной плотности мощности (СПМ) случайных стационарных процессов;</w:t>
      </w: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изучение методов спектральных измерений нестационарных сигналов;</w:t>
      </w: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знакомство с методами, реализующими высокое частотно-временное разрешение, в том числе, основанных на параметрических моделях процессов, </w:t>
      </w: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знакомство с время-частотными преобразованиями сигналов, wavelet-преобразованием, преобразованием Гильберта-Хуанга.</w:t>
      </w:r>
    </w:p>
    <w:p w:rsidR="00BE5C14" w:rsidRDefault="00BE5C14" w:rsidP="00D211CE">
      <w:pPr>
        <w:ind w:right="-2" w:firstLine="567"/>
        <w:jc w:val="both"/>
        <w:rPr>
          <w:rFonts w:ascii="Times New Roman" w:hAnsi="Times New Roman"/>
          <w:i/>
          <w:sz w:val="24"/>
        </w:rPr>
      </w:pPr>
    </w:p>
    <w:p w:rsidR="00BE5C14" w:rsidRDefault="00BE5C14" w:rsidP="00D211CE">
      <w:pPr>
        <w:numPr>
          <w:ilvl w:val="0"/>
          <w:numId w:val="13"/>
        </w:numPr>
        <w:ind w:left="0" w:right="-2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BE5C14" w:rsidRDefault="00BE5C14" w:rsidP="00D211CE">
      <w:pPr>
        <w:tabs>
          <w:tab w:val="left" w:pos="426"/>
        </w:tabs>
        <w:ind w:right="-2" w:firstLine="567"/>
        <w:jc w:val="both"/>
        <w:rPr>
          <w:rFonts w:ascii="Times New Roman" w:hAnsi="Times New Roman"/>
          <w:b/>
          <w:sz w:val="28"/>
        </w:rPr>
      </w:pPr>
    </w:p>
    <w:p w:rsidR="00BE5C14" w:rsidRDefault="00BE5C14" w:rsidP="00D211CE">
      <w:pPr>
        <w:tabs>
          <w:tab w:val="left" w:pos="426"/>
        </w:tabs>
        <w:jc w:val="both"/>
        <w:rPr>
          <w:rFonts w:ascii="Times New Roman" w:hAnsi="Times New Roman"/>
          <w:i/>
          <w:sz w:val="24"/>
          <w:shd w:val="clear" w:color="auto" w:fill="FFFF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850"/>
        <w:gridCol w:w="6073"/>
      </w:tblGrid>
      <w:tr w:rsidR="00BE5C14" w:rsidRPr="00D211CE" w:rsidTr="00D211CE">
        <w:trPr>
          <w:trHeight w:val="2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-332"/>
              </w:tabs>
              <w:ind w:left="108" w:right="1"/>
              <w:jc w:val="center"/>
              <w:rPr>
                <w:rFonts w:ascii="Times New Roman" w:hAnsi="Times New Roman"/>
                <w:b/>
              </w:rPr>
            </w:pPr>
            <w:r w:rsidRPr="00D211CE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BE5C14" w:rsidRPr="00D211CE" w:rsidRDefault="00BE5C14" w:rsidP="00D211CE">
            <w:pPr>
              <w:tabs>
                <w:tab w:val="left" w:pos="-332"/>
              </w:tabs>
              <w:ind w:left="108" w:right="1"/>
              <w:jc w:val="center"/>
            </w:pPr>
            <w:r w:rsidRPr="00D211CE">
              <w:rPr>
                <w:rFonts w:ascii="Times New Roman" w:hAnsi="Times New Roman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-54"/>
              </w:tabs>
              <w:ind w:left="56" w:right="1"/>
              <w:jc w:val="center"/>
            </w:pPr>
            <w:r w:rsidRPr="00D211CE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BE5C14" w:rsidRPr="00D211CE" w:rsidTr="00D211CE">
        <w:trPr>
          <w:trHeight w:val="2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070" w:rsidRPr="00D211CE" w:rsidRDefault="00430070" w:rsidP="00D211CE">
            <w:pPr>
              <w:jc w:val="both"/>
            </w:pPr>
            <w:r w:rsidRPr="00D211C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проводить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математическое и компьютерное моделирования, моделирование, а также экспериментальные исследования объектов и процессов в целях анализа и оптимизации параметров радиоэлектронных средств и апробации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перспективных технических решений</w:t>
            </w:r>
          </w:p>
          <w:p w:rsidR="00BE5C14" w:rsidRPr="00D211CE" w:rsidRDefault="00430070" w:rsidP="00D211CE">
            <w:pPr>
              <w:tabs>
                <w:tab w:val="left" w:pos="-332"/>
              </w:tabs>
              <w:jc w:val="both"/>
            </w:pPr>
            <w:r w:rsidRPr="00D211CE">
              <w:rPr>
                <w:rFonts w:ascii="Times New Roman" w:hAnsi="Times New Roman"/>
              </w:rPr>
              <w:t xml:space="preserve"> (этап освоения - базовый)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1CE" w:rsidRDefault="00BE5C14" w:rsidP="00D211C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211CE">
              <w:rPr>
                <w:rFonts w:ascii="Times New Roman" w:hAnsi="Times New Roman"/>
              </w:rPr>
              <w:t>З1 (ПК-</w:t>
            </w:r>
            <w:r w:rsidR="00430070" w:rsidRPr="00D211CE">
              <w:rPr>
                <w:rFonts w:ascii="Times New Roman" w:hAnsi="Times New Roman"/>
              </w:rPr>
              <w:t>2</w:t>
            </w:r>
            <w:r w:rsidRPr="00D211CE">
              <w:rPr>
                <w:rFonts w:ascii="Times New Roman" w:hAnsi="Times New Roman"/>
              </w:rPr>
              <w:t xml:space="preserve">)  </w:t>
            </w:r>
            <w:r w:rsidR="00430070" w:rsidRPr="00D211CE">
              <w:rPr>
                <w:rFonts w:ascii="Times New Roman" w:hAnsi="Times New Roman"/>
              </w:rPr>
              <w:t xml:space="preserve">Знать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основы моделирования и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компьютерного проектирования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средств, стандартные пакеты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прикладных программ, ориентированных на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решение научных и проектных задач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радиоэлектроники.</w:t>
            </w:r>
          </w:p>
          <w:p w:rsidR="00430070" w:rsidRPr="00D211CE" w:rsidRDefault="00430070" w:rsidP="00D211C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211CE">
              <w:rPr>
                <w:rFonts w:ascii="Times New Roman" w:hAnsi="Times New Roman"/>
              </w:rPr>
              <w:t xml:space="preserve">З2 (ПК-2) Знать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математические модели процессов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и явлений, лежащих в основе принципов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действия радиоэлектронных средств</w:t>
            </w:r>
          </w:p>
          <w:p w:rsidR="00D211CE" w:rsidRDefault="00BE5C14" w:rsidP="00D211C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211CE">
              <w:rPr>
                <w:rFonts w:ascii="Times New Roman" w:hAnsi="Times New Roman"/>
              </w:rPr>
              <w:t>У1 (ПК-</w:t>
            </w:r>
            <w:r w:rsidR="00430070" w:rsidRPr="00D211CE">
              <w:rPr>
                <w:rFonts w:ascii="Times New Roman" w:hAnsi="Times New Roman"/>
              </w:rPr>
              <w:t>2</w:t>
            </w:r>
            <w:r w:rsidRPr="00D211CE">
              <w:rPr>
                <w:rFonts w:ascii="Times New Roman" w:hAnsi="Times New Roman"/>
              </w:rPr>
              <w:t xml:space="preserve">) </w:t>
            </w:r>
            <w:r w:rsidR="00430070" w:rsidRPr="00D211CE">
              <w:rPr>
                <w:rFonts w:ascii="Times New Roman" w:hAnsi="Times New Roman"/>
              </w:rPr>
              <w:t xml:space="preserve">Уметь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применять компьютерные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системы и пакеты прикладных программ для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проектирования и моделирования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средств.</w:t>
            </w:r>
          </w:p>
          <w:p w:rsidR="00BE5C14" w:rsidRPr="00D211CE" w:rsidRDefault="00430070" w:rsidP="00D211CE">
            <w:pPr>
              <w:widowControl w:val="0"/>
              <w:autoSpaceDE w:val="0"/>
              <w:autoSpaceDN w:val="0"/>
              <w:adjustRightInd w:val="0"/>
              <w:jc w:val="both"/>
            </w:pPr>
            <w:r w:rsidRPr="00D211CE">
              <w:rPr>
                <w:rFonts w:ascii="Times New Roman" w:hAnsi="Times New Roman"/>
              </w:rPr>
              <w:t>У2 (ПК-2) Уметь п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роводить экспериментальные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исследования в целях анализа и оптимизации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>параметров радио-электронных средств и</w:t>
            </w:r>
            <w:r w:rsid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D211C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апробации перспективных технических </w:t>
            </w:r>
          </w:p>
        </w:tc>
      </w:tr>
    </w:tbl>
    <w:p w:rsidR="00BE5C14" w:rsidRDefault="00BE5C14" w:rsidP="00D211CE">
      <w:pPr>
        <w:tabs>
          <w:tab w:val="left" w:pos="426"/>
          <w:tab w:val="left" w:pos="822"/>
        </w:tabs>
        <w:jc w:val="both"/>
        <w:rPr>
          <w:rFonts w:ascii="Times New Roman" w:hAnsi="Times New Roman"/>
          <w:sz w:val="28"/>
        </w:rPr>
      </w:pPr>
    </w:p>
    <w:p w:rsidR="00BE5C14" w:rsidRDefault="00BE5C14" w:rsidP="00D211CE">
      <w:pPr>
        <w:numPr>
          <w:ilvl w:val="0"/>
          <w:numId w:val="13"/>
        </w:numPr>
        <w:tabs>
          <w:tab w:val="left" w:pos="426"/>
        </w:tabs>
        <w:ind w:left="0" w:right="-2" w:firstLine="567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Структура и содержание дисциплины (модуля) «Современные методы спектрального анализа» </w:t>
      </w:r>
    </w:p>
    <w:p w:rsidR="00BE5C14" w:rsidRPr="002A7CF4" w:rsidRDefault="00BE5C14" w:rsidP="00D211CE">
      <w:pPr>
        <w:tabs>
          <w:tab w:val="left" w:pos="-567"/>
          <w:tab w:val="left" w:pos="0"/>
        </w:tabs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Объем дисциплины составляет 2 зачетные единицы, всего </w:t>
      </w:r>
      <w:r>
        <w:rPr>
          <w:rFonts w:ascii="Times New Roman" w:hAnsi="Times New Roman"/>
          <w:b/>
          <w:sz w:val="24"/>
        </w:rPr>
        <w:t>72</w:t>
      </w:r>
      <w:r>
        <w:rPr>
          <w:rFonts w:ascii="Times New Roman" w:hAnsi="Times New Roman"/>
          <w:sz w:val="24"/>
        </w:rPr>
        <w:t xml:space="preserve"> часа, из которых </w:t>
      </w:r>
      <w:r>
        <w:rPr>
          <w:rFonts w:ascii="Times New Roman" w:hAnsi="Times New Roman"/>
          <w:b/>
          <w:sz w:val="24"/>
        </w:rPr>
        <w:t>33</w:t>
      </w:r>
      <w:r>
        <w:rPr>
          <w:rFonts w:ascii="Times New Roman" w:hAnsi="Times New Roman"/>
          <w:sz w:val="24"/>
        </w:rPr>
        <w:t xml:space="preserve"> часа составляет контактная работа обучающегося с преподавателем (32 часа занятия лекционного типа, 1 час – мероприятия текущего контроля успеваемости), 1 час - мероприятия промежуточной аттестации, </w:t>
      </w:r>
      <w:r>
        <w:rPr>
          <w:rFonts w:ascii="Times New Roman" w:hAnsi="Times New Roman"/>
          <w:b/>
          <w:sz w:val="24"/>
        </w:rPr>
        <w:t>39</w:t>
      </w:r>
      <w:r>
        <w:rPr>
          <w:rFonts w:ascii="Times New Roman" w:hAnsi="Times New Roman"/>
          <w:sz w:val="24"/>
        </w:rPr>
        <w:t xml:space="preserve"> часов составляет самостоятельная работа обучающегося.</w:t>
      </w:r>
    </w:p>
    <w:p w:rsidR="00BE5C14" w:rsidRPr="002A7CF4" w:rsidRDefault="00BE5C14" w:rsidP="00D211CE">
      <w:pPr>
        <w:tabs>
          <w:tab w:val="left" w:pos="-567"/>
          <w:tab w:val="left" w:pos="0"/>
        </w:tabs>
        <w:ind w:right="-2" w:firstLine="567"/>
        <w:jc w:val="both"/>
        <w:rPr>
          <w:rFonts w:ascii="Times New Roman" w:hAnsi="Times New Roman"/>
          <w:sz w:val="24"/>
        </w:rPr>
      </w:pPr>
    </w:p>
    <w:p w:rsidR="00BE5C14" w:rsidRDefault="00D211CE" w:rsidP="00D211CE">
      <w:pPr>
        <w:tabs>
          <w:tab w:val="left" w:pos="-567"/>
          <w:tab w:val="left" w:pos="0"/>
        </w:tabs>
        <w:ind w:right="-2"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br w:type="page"/>
      </w:r>
      <w:r w:rsidR="00BE5C14">
        <w:rPr>
          <w:rFonts w:ascii="Times New Roman" w:hAnsi="Times New Roman"/>
          <w:sz w:val="24"/>
          <w:u w:val="single"/>
        </w:rPr>
        <w:lastRenderedPageBreak/>
        <w:t>Содержание дисциплины (модуля)</w:t>
      </w:r>
    </w:p>
    <w:p w:rsidR="00D211CE" w:rsidRDefault="00D211CE" w:rsidP="00D211CE">
      <w:pPr>
        <w:tabs>
          <w:tab w:val="left" w:pos="-567"/>
          <w:tab w:val="left" w:pos="0"/>
        </w:tabs>
        <w:ind w:right="-2" w:firstLine="567"/>
        <w:jc w:val="both"/>
        <w:rPr>
          <w:rFonts w:ascii="Times New Roman" w:hAnsi="Times New Roman"/>
          <w:sz w:val="24"/>
          <w:u w:val="single"/>
        </w:rPr>
      </w:pPr>
    </w:p>
    <w:tbl>
      <w:tblPr>
        <w:tblW w:w="0" w:type="auto"/>
        <w:jc w:val="center"/>
        <w:tblInd w:w="108" w:type="dxa"/>
        <w:tblCellMar>
          <w:left w:w="10" w:type="dxa"/>
          <w:right w:w="10" w:type="dxa"/>
        </w:tblCellMar>
        <w:tblLook w:val="0000"/>
      </w:tblPr>
      <w:tblGrid>
        <w:gridCol w:w="2093"/>
        <w:gridCol w:w="841"/>
        <w:gridCol w:w="1384"/>
        <w:gridCol w:w="1467"/>
        <w:gridCol w:w="1555"/>
        <w:gridCol w:w="868"/>
        <w:gridCol w:w="1821"/>
      </w:tblGrid>
      <w:tr w:rsidR="00D211CE" w:rsidRPr="00D211CE" w:rsidTr="00D211CE">
        <w:trPr>
          <w:trHeight w:val="135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Наименование и краткое содержание разделов и тем дисциплины (модуля),</w:t>
            </w:r>
          </w:p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форма промежуточной аттестации по дисциплине (модулю)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Всего</w:t>
            </w:r>
          </w:p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(часы)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В том числе</w:t>
            </w:r>
          </w:p>
        </w:tc>
      </w:tr>
      <w:tr w:rsidR="00D211CE" w:rsidRPr="00D211CE" w:rsidTr="00D211CE">
        <w:trPr>
          <w:trHeight w:val="791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Контактная работа (работа во взаимодействии с преподавателем), часы</w:t>
            </w:r>
          </w:p>
          <w:p w:rsidR="00BE5C14" w:rsidRPr="00D211CE" w:rsidRDefault="00BE5C14" w:rsidP="00D211CE">
            <w:pPr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из них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Самостоятельная работа обучающегося, часы</w:t>
            </w:r>
          </w:p>
        </w:tc>
      </w:tr>
      <w:tr w:rsidR="00D211CE" w:rsidRPr="00D211CE" w:rsidTr="00D211CE">
        <w:trPr>
          <w:trHeight w:val="804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5396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Занятия лекционного типа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5396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Занятия семинарского типа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5396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Занятия лабораторного типа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cs="Calibri"/>
                <w:b/>
                <w:sz w:val="20"/>
              </w:rPr>
            </w:pPr>
          </w:p>
        </w:tc>
      </w:tr>
      <w:tr w:rsidR="00D211CE" w:rsidRPr="00D211CE" w:rsidTr="00D211CE">
        <w:trPr>
          <w:cantSplit/>
          <w:trHeight w:val="278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Очная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Очная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Очная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Очная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tabs>
                <w:tab w:val="left" w:pos="822"/>
              </w:tabs>
              <w:jc w:val="center"/>
              <w:rPr>
                <w:b/>
                <w:sz w:val="20"/>
              </w:rPr>
            </w:pPr>
            <w:r w:rsidRPr="00D211CE">
              <w:rPr>
                <w:rFonts w:ascii="Times New Roman" w:hAnsi="Times New Roman"/>
                <w:b/>
                <w:sz w:val="20"/>
              </w:rPr>
              <w:t>Очная</w:t>
            </w:r>
          </w:p>
        </w:tc>
      </w:tr>
      <w:tr w:rsidR="00D211CE" w:rsidRPr="008C0E94" w:rsidTr="00D211CE">
        <w:trPr>
          <w:trHeight w:val="202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</w:t>
            </w:r>
          </w:p>
          <w:p w:rsidR="00BE5C14" w:rsidRPr="008C0E94" w:rsidRDefault="00BE5C14" w:rsidP="00D211CE">
            <w:pPr>
              <w:tabs>
                <w:tab w:val="left" w:pos="822"/>
              </w:tabs>
              <w:ind w:right="1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Спектральные представления детерминированных сигналов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2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Спектральные представления случайных процессов.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3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Классические методы цифрового спектрального оценивания.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4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Параметрические модели случайных процессов.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5</w:t>
            </w:r>
          </w:p>
          <w:p w:rsidR="00BE5C14" w:rsidRPr="00D211CE" w:rsidRDefault="00BE5C14" w:rsidP="00D211C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Алгоритмы авторегрессионного спектрального оценивания.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6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Спектральное оценивание на основе АРСС-моделей.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7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Метод Прони.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8</w:t>
            </w:r>
          </w:p>
          <w:p w:rsidR="00BE5C14" w:rsidRPr="008C0E94" w:rsidRDefault="00BE5C14" w:rsidP="00D211CE">
            <w:pPr>
              <w:tabs>
                <w:tab w:val="left" w:pos="822"/>
              </w:tabs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Введение в измерение спектров нестационарных сигналов.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9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Частотно-временные распределения.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10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Wavelet-преобразование.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11</w:t>
            </w:r>
          </w:p>
          <w:p w:rsidR="00BE5C14" w:rsidRPr="008C0E94" w:rsidRDefault="00BE5C14" w:rsidP="00D211CE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Преобразование Гильберта-Хуанга.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211CE" w:rsidRPr="008C0E94" w:rsidTr="00D211CE">
        <w:trPr>
          <w:trHeight w:val="1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текущий контроль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Default="00BE5C14" w:rsidP="00D211CE">
            <w:pPr>
              <w:tabs>
                <w:tab w:val="left" w:pos="822"/>
              </w:tabs>
              <w:ind w:left="255" w:hanging="255"/>
              <w:jc w:val="center"/>
              <w:rPr>
                <w:rFonts w:cs="Calibri"/>
                <w:sz w:val="20"/>
              </w:rPr>
            </w:pPr>
          </w:p>
        </w:tc>
      </w:tr>
      <w:tr w:rsidR="00BE5C14" w:rsidRPr="008C0E94" w:rsidTr="00D211CE">
        <w:trPr>
          <w:trHeight w:val="1"/>
          <w:jc w:val="center"/>
        </w:trPr>
        <w:tc>
          <w:tcPr>
            <w:tcW w:w="10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14" w:rsidRPr="008C0E94" w:rsidRDefault="00BE5C14" w:rsidP="00D211CE">
            <w:pPr>
              <w:tabs>
                <w:tab w:val="left" w:pos="822"/>
              </w:tabs>
              <w:ind w:left="255" w:hanging="255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Промежуточная аттестация – зачет</w:t>
            </w:r>
          </w:p>
        </w:tc>
      </w:tr>
    </w:tbl>
    <w:p w:rsidR="00BE5C14" w:rsidRPr="00D211CE" w:rsidRDefault="00BE5C14" w:rsidP="00D211CE">
      <w:pPr>
        <w:keepNext/>
        <w:tabs>
          <w:tab w:val="left" w:pos="0"/>
        </w:tabs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211CE">
        <w:rPr>
          <w:rFonts w:ascii="Times New Roman" w:hAnsi="Times New Roman"/>
          <w:b/>
          <w:sz w:val="24"/>
          <w:szCs w:val="24"/>
        </w:rPr>
        <w:t>4. Образовательные технологии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 xml:space="preserve">Реализация компетентностного подхода предусматривает использование в учебном процессе следующих форм проведения занятий. </w:t>
      </w:r>
    </w:p>
    <w:p w:rsidR="00BE5C14" w:rsidRPr="00D211CE" w:rsidRDefault="00BE5C14" w:rsidP="00D211CE">
      <w:pPr>
        <w:keepNext/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При чтении лекций используется активная форма, заключающаяся в разборе конкретных ситуаций, возникающих при анализе рассматриваемых физических явлений (анализ корректности постановки задачи, выявление физического смысла полученного результата).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 xml:space="preserve">Используются следующие </w:t>
      </w:r>
      <w:r w:rsidRPr="00D211CE">
        <w:rPr>
          <w:rFonts w:ascii="Times New Roman" w:hAnsi="Times New Roman"/>
          <w:b/>
          <w:sz w:val="24"/>
          <w:szCs w:val="24"/>
        </w:rPr>
        <w:t>интерактивные</w:t>
      </w:r>
      <w:r w:rsidRPr="00D211CE">
        <w:rPr>
          <w:rFonts w:ascii="Times New Roman" w:hAnsi="Times New Roman"/>
          <w:sz w:val="24"/>
          <w:szCs w:val="24"/>
        </w:rPr>
        <w:t xml:space="preserve"> формы проведения занятий: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– Предоставление студентам адресов необходимых Интернет–ресурсов.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– Обмен со студентами адресами электронной почты для обеспечения оперативного взаимодействия.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– Отправка студентам электронных писем, содержащих необходимые образовательные ресурсы (материалы к лекциям, персональные задания к зачёту).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– Предоставление студентам возможности обсуждения проблем, возникающих при освоении дисциплины, с использованием сети Интернет.</w:t>
      </w:r>
    </w:p>
    <w:p w:rsidR="00BE5C14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В рамках данного учебного курса предусмотрены встречи с представителями российских и зарубежных компаний Intel, Nokia Siemens Networks и др. с целью формирования и развития профессиональных навыков обучающихся, решения прикладных задач с помощью компьютерных симуляций, стимулирования внеаудиторной работы.</w:t>
      </w:r>
    </w:p>
    <w:p w:rsidR="00D211CE" w:rsidRPr="00D211CE" w:rsidRDefault="00D211CE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BE5C14" w:rsidRPr="00D211CE" w:rsidRDefault="00BE5C14" w:rsidP="00D211CE">
      <w:pPr>
        <w:keepNext/>
        <w:tabs>
          <w:tab w:val="left" w:pos="0"/>
        </w:tabs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211CE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cs="Calibri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Используются виды самостоятельной работы студента: в читальном зале библиотеки, в учебных кабинетах (лабораториях), компьютерных классах, с доступом к ресурсам Интернет и в домашних условиях. Порядок выполнения самостоятельной работы соответствует программе курса и контролируется в ходе проведения лекционных занятий и в конце курса при проведении экзамена по данной дисциплине. Самостоятельная работа подкрепляется учебно-методическим и информационным обеспечением, включающим рекомендованные учебники и учебно-методические пособия, а также конспекты лекций.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– во время лекций формулируются проблемы, которые студенты должны решить самостоятельно. На последующих лекциях проводится открытое обсуждение полученных результатов и даётся правильное решение.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– задания для проведения промежуточной аттестации по итогам освоения дисциплины (см. Раздел 6.4) выдаются студентам заранее. В случае необходимости проводятся индивидуальные консультации.</w:t>
      </w:r>
    </w:p>
    <w:p w:rsidR="00D211CE" w:rsidRDefault="00D211CE" w:rsidP="00D211CE">
      <w:pPr>
        <w:tabs>
          <w:tab w:val="left" w:pos="0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D211CE">
        <w:rPr>
          <w:rFonts w:ascii="Times New Roman" w:hAnsi="Times New Roman"/>
          <w:sz w:val="24"/>
          <w:szCs w:val="24"/>
        </w:rPr>
        <w:t>)</w:t>
      </w:r>
    </w:p>
    <w:p w:rsidR="00BE5C14" w:rsidRPr="00D211CE" w:rsidRDefault="00BE5C14" w:rsidP="00D211CE">
      <w:pPr>
        <w:numPr>
          <w:ilvl w:val="0"/>
          <w:numId w:val="4"/>
        </w:num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формирования:</w:t>
      </w:r>
    </w:p>
    <w:p w:rsidR="00BE5C14" w:rsidRPr="00D211CE" w:rsidRDefault="00BE5C14" w:rsidP="00D211CE">
      <w:pPr>
        <w:tabs>
          <w:tab w:val="left" w:pos="0"/>
        </w:tabs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30070" w:rsidRPr="00D211CE" w:rsidRDefault="00430070" w:rsidP="00D211CE">
      <w:pPr>
        <w:widowControl w:val="0"/>
        <w:tabs>
          <w:tab w:val="left" w:pos="0"/>
        </w:tabs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i/>
          <w:sz w:val="24"/>
          <w:szCs w:val="24"/>
          <w:u w:val="single"/>
        </w:rPr>
        <w:t>ПК-2</w:t>
      </w:r>
      <w:r w:rsidRPr="00D211CE">
        <w:rPr>
          <w:rFonts w:ascii="Times New Roman" w:hAnsi="Times New Roman"/>
          <w:i/>
          <w:sz w:val="24"/>
          <w:szCs w:val="24"/>
        </w:rPr>
        <w:t xml:space="preserve">: </w:t>
      </w:r>
      <w:r w:rsidRPr="00D211CE">
        <w:rPr>
          <w:rStyle w:val="fontstyle01"/>
          <w:rFonts w:ascii="Times New Roman" w:hAnsi="Times New Roman"/>
          <w:sz w:val="24"/>
          <w:szCs w:val="24"/>
        </w:rPr>
        <w:t>Способен проводить математическое и компьютерное моделирования, моделирование, а также экспериментальные исследования объектов и процессов в целях анализа и оптимизации параметров радиоэлектронных средств и апробации перспективных технических решений</w:t>
      </w:r>
      <w:r w:rsidRPr="00D211CE">
        <w:rPr>
          <w:rFonts w:ascii="Times New Roman" w:hAnsi="Times New Roman"/>
          <w:sz w:val="24"/>
          <w:szCs w:val="24"/>
        </w:rPr>
        <w:t xml:space="preserve"> </w:t>
      </w:r>
    </w:p>
    <w:p w:rsidR="00430070" w:rsidRPr="00D211CE" w:rsidRDefault="00430070" w:rsidP="00D211CE">
      <w:pPr>
        <w:widowControl w:val="0"/>
        <w:tabs>
          <w:tab w:val="left" w:pos="0"/>
        </w:tabs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>(этап освоения – базовый)</w:t>
      </w:r>
    </w:p>
    <w:p w:rsidR="00BE5C14" w:rsidRDefault="00BE5C14" w:rsidP="00D211CE">
      <w:pPr>
        <w:rPr>
          <w:rFonts w:ascii="Times New Roman" w:hAnsi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73"/>
        <w:gridCol w:w="3410"/>
        <w:gridCol w:w="3630"/>
      </w:tblGrid>
      <w:tr w:rsidR="00BE5C14" w:rsidRPr="00D211CE" w:rsidTr="00D211CE">
        <w:trPr>
          <w:cantSplit/>
          <w:trHeight w:val="113"/>
          <w:tblHeader/>
        </w:trPr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b/>
                <w:sz w:val="20"/>
                <w:szCs w:val="20"/>
              </w:rPr>
            </w:pPr>
            <w:r w:rsidRPr="00D211CE"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b/>
                <w:sz w:val="20"/>
                <w:szCs w:val="20"/>
              </w:rPr>
            </w:pPr>
            <w:r w:rsidRPr="00D211CE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BE5C14" w:rsidRPr="00D211CE" w:rsidTr="00D211CE">
        <w:trPr>
          <w:trHeight w:val="113"/>
          <w:tblHeader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b/>
                <w:sz w:val="20"/>
                <w:szCs w:val="20"/>
              </w:rPr>
            </w:pPr>
            <w:r w:rsidRPr="00D211CE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E5C14" w:rsidRPr="00D211CE" w:rsidRDefault="00BE5C14" w:rsidP="00D211CE">
            <w:pPr>
              <w:jc w:val="center"/>
              <w:rPr>
                <w:b/>
                <w:sz w:val="20"/>
                <w:szCs w:val="20"/>
              </w:rPr>
            </w:pPr>
            <w:r w:rsidRPr="00D211CE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BE5C14" w:rsidRPr="00D211CE">
        <w:trPr>
          <w:trHeight w:val="113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30070" w:rsidRPr="00D211CE" w:rsidRDefault="00BE5C14" w:rsidP="00D211CE">
            <w:pPr>
              <w:tabs>
                <w:tab w:val="left" w:pos="-332"/>
              </w:tabs>
              <w:ind w:right="1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 xml:space="preserve">Знает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основы моделирования и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компьютерного проектирования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радиоэлектронных средств, стандартные пакеты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прикладных программ, ориентированных на</w:t>
            </w:r>
            <w:r w:rsidR="00430070" w:rsidRPr="00D211CE">
              <w:rPr>
                <w:color w:val="000000"/>
                <w:sz w:val="20"/>
                <w:szCs w:val="20"/>
              </w:rPr>
              <w:br/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решение научных и проектных задач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радиоэлектроники и математические модели процессов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и явлений, лежащих в основе принципов</w:t>
            </w:r>
            <w:r w:rsidR="00430070" w:rsidRPr="00D211CE">
              <w:rPr>
                <w:color w:val="000000"/>
                <w:sz w:val="20"/>
                <w:szCs w:val="20"/>
              </w:rPr>
              <w:br/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действия радиоэлектронных средств</w:t>
            </w:r>
          </w:p>
          <w:p w:rsidR="00BE5C14" w:rsidRPr="00D211CE" w:rsidRDefault="00BE5C14" w:rsidP="00D211CE">
            <w:pPr>
              <w:jc w:val="both"/>
              <w:rPr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применять компьютерные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системы и пакеты прикладных программ для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проектирования и моделирования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радиоэлектронных средств и проводить экспериментальные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исследования в целях анализа и оптимизации</w:t>
            </w:r>
            <w:r w:rsidR="00430070" w:rsidRPr="00D211CE">
              <w:rPr>
                <w:color w:val="000000"/>
                <w:sz w:val="20"/>
                <w:szCs w:val="20"/>
              </w:rPr>
              <w:br/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параметров радио-электронных средств и</w:t>
            </w:r>
            <w:r w:rsidR="00430070" w:rsidRPr="00D211CE">
              <w:rPr>
                <w:color w:val="000000"/>
                <w:sz w:val="20"/>
                <w:szCs w:val="20"/>
              </w:rPr>
              <w:br/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апробации перспективных технических решений</w:t>
            </w:r>
            <w:r w:rsidR="00430070" w:rsidRPr="00D211CE">
              <w:rPr>
                <w:sz w:val="20"/>
                <w:szCs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30070" w:rsidRPr="00D211CE" w:rsidRDefault="00BE5C14" w:rsidP="00D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 xml:space="preserve">Не знает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основы моделирования и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компьютерного проектирования</w:t>
            </w:r>
            <w:r w:rsidR="00430070" w:rsidRPr="00D211CE">
              <w:rPr>
                <w:color w:val="000000"/>
                <w:sz w:val="20"/>
                <w:szCs w:val="20"/>
              </w:rPr>
              <w:br/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радиоэлектронных средств, стандартные пакеты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прикладных программ, ориентированных на</w:t>
            </w:r>
            <w:r w:rsidR="00430070" w:rsidRPr="00D211CE">
              <w:rPr>
                <w:color w:val="000000"/>
                <w:sz w:val="20"/>
                <w:szCs w:val="20"/>
              </w:rPr>
              <w:br/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решение научных и проектных задач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радиоэлектроники и математические модели процессов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и явлений, лежащих в основе принципов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действия радиоэлектронных средств</w:t>
            </w:r>
            <w:r w:rsidRPr="00D211C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0070" w:rsidRPr="00D211CE" w:rsidRDefault="00BE5C14" w:rsidP="00D211CE">
            <w:pPr>
              <w:jc w:val="both"/>
              <w:rPr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 xml:space="preserve">Не умеет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применять компьютерные</w:t>
            </w:r>
            <w:r w:rsidR="00430070" w:rsidRPr="00D211CE">
              <w:rPr>
                <w:color w:val="000000"/>
                <w:sz w:val="20"/>
                <w:szCs w:val="20"/>
              </w:rPr>
              <w:br/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системы и пакеты прикладных программ для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проектирования и моделирования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радиоэлектронных средств и проводить экспериментальные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исследования в целях анализа и оптимизации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параметров радио-электронных средств и</w:t>
            </w:r>
            <w:r w:rsidR="00D211CE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="00430070" w:rsidRPr="00D211CE">
              <w:rPr>
                <w:rStyle w:val="fontstyle01"/>
                <w:rFonts w:ascii="Times New Roman" w:hAnsi="Times New Roman"/>
                <w:sz w:val="20"/>
                <w:szCs w:val="20"/>
              </w:rPr>
              <w:t>апробации перспективных технических решений</w:t>
            </w:r>
          </w:p>
          <w:p w:rsidR="00BE5C14" w:rsidRPr="00D211CE" w:rsidRDefault="00BE5C14" w:rsidP="00D211CE">
            <w:pPr>
              <w:tabs>
                <w:tab w:val="left" w:pos="-332"/>
              </w:tabs>
              <w:ind w:right="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pPr>
              <w:jc w:val="both"/>
              <w:rPr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>Знает и грамотно пользуется  методами цифрового спектрального анализа. Умеет проводить практический анализ с применением радиотехнических устройств. Понимает и владеет спектральным анализом, как инструментом для решения задач специального назначения.</w:t>
            </w:r>
          </w:p>
        </w:tc>
      </w:tr>
      <w:tr w:rsidR="00BE5C14" w:rsidRPr="00D211CE">
        <w:trPr>
          <w:trHeight w:val="113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pPr>
              <w:suppressAutoHyphens/>
              <w:jc w:val="both"/>
              <w:rPr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правильных контрольных заданий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pPr>
              <w:jc w:val="both"/>
              <w:rPr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>0–50 %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pPr>
              <w:jc w:val="both"/>
              <w:rPr>
                <w:sz w:val="20"/>
                <w:szCs w:val="20"/>
              </w:rPr>
            </w:pPr>
            <w:r w:rsidRPr="00D211CE">
              <w:rPr>
                <w:rFonts w:ascii="Times New Roman" w:hAnsi="Times New Roman"/>
                <w:sz w:val="20"/>
                <w:szCs w:val="20"/>
              </w:rPr>
              <w:t>50–100%</w:t>
            </w:r>
          </w:p>
        </w:tc>
      </w:tr>
    </w:tbl>
    <w:p w:rsidR="00BE5C14" w:rsidRDefault="00BE5C14" w:rsidP="00D211CE">
      <w:pPr>
        <w:jc w:val="center"/>
        <w:rPr>
          <w:rFonts w:cs="Calibri"/>
          <w:color w:val="0000FF"/>
          <w:sz w:val="20"/>
        </w:rPr>
      </w:pPr>
    </w:p>
    <w:p w:rsidR="00BE5C14" w:rsidRDefault="00BE5C14" w:rsidP="00D211CE">
      <w:pPr>
        <w:jc w:val="center"/>
        <w:rPr>
          <w:rFonts w:cs="Calibri"/>
          <w:b/>
          <w:color w:val="0000FF"/>
          <w:sz w:val="20"/>
        </w:rPr>
      </w:pPr>
    </w:p>
    <w:p w:rsidR="00BE5C14" w:rsidRPr="00D211CE" w:rsidRDefault="00BE5C14" w:rsidP="00D211CE">
      <w:pPr>
        <w:numPr>
          <w:ilvl w:val="0"/>
          <w:numId w:val="5"/>
        </w:num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11CE">
        <w:rPr>
          <w:rFonts w:ascii="Times New Roman" w:hAnsi="Times New Roman"/>
          <w:b/>
          <w:sz w:val="24"/>
          <w:szCs w:val="24"/>
        </w:rPr>
        <w:t>Описание шкал оценивания</w:t>
      </w:r>
    </w:p>
    <w:p w:rsidR="00BE5C14" w:rsidRPr="00D211CE" w:rsidRDefault="00BE5C14" w:rsidP="00D211CE">
      <w:pPr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 w:rsidRPr="00D211CE">
        <w:rPr>
          <w:rFonts w:ascii="Times New Roman" w:hAnsi="Times New Roman"/>
          <w:sz w:val="24"/>
          <w:szCs w:val="24"/>
        </w:rPr>
        <w:t xml:space="preserve">Аттестация сформированности компетенций происходит в рамках промежуточного контроля при принятии зачёта в конце семестра.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318"/>
        <w:gridCol w:w="8580"/>
      </w:tblGrid>
      <w:tr w:rsidR="00BE5C14" w:rsidRPr="008C0E94">
        <w:trPr>
          <w:trHeight w:val="33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pPr>
              <w:jc w:val="center"/>
            </w:pPr>
            <w:r w:rsidRPr="00D211CE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pPr>
              <w:jc w:val="center"/>
            </w:pPr>
            <w:r w:rsidRPr="00D211CE">
              <w:rPr>
                <w:rFonts w:ascii="Times New Roman" w:hAnsi="Times New Roman"/>
                <w:b/>
              </w:rPr>
              <w:t>Уровень подготовки</w:t>
            </w:r>
          </w:p>
        </w:tc>
      </w:tr>
      <w:tr w:rsidR="00BE5C14" w:rsidRPr="008C0E94">
        <w:trPr>
          <w:trHeight w:val="33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r w:rsidRPr="00D211CE">
              <w:rPr>
                <w:rFonts w:ascii="Times New Roman" w:hAnsi="Times New Roman"/>
              </w:rPr>
              <w:t>Зачтено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r w:rsidRPr="00D211CE">
              <w:rPr>
                <w:rFonts w:ascii="Times New Roman" w:hAnsi="Times New Roman"/>
                <w:shd w:val="clear" w:color="auto" w:fill="FFFFFF"/>
              </w:rPr>
              <w:t xml:space="preserve">Достаточный объём знаний, хорошее знание основных терминов и понятий курса. Продемонстрированы умение и навыки при решении практических задач. </w:t>
            </w:r>
          </w:p>
        </w:tc>
      </w:tr>
      <w:tr w:rsidR="00BE5C14" w:rsidRPr="008C0E94">
        <w:trPr>
          <w:trHeight w:val="57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r w:rsidRPr="00D211CE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5C14" w:rsidRPr="00D211CE" w:rsidRDefault="00BE5C14" w:rsidP="00D211CE">
            <w:r w:rsidRPr="00D211CE">
              <w:rPr>
                <w:rFonts w:ascii="Times New Roman" w:hAnsi="Times New Roman"/>
              </w:rPr>
              <w:t xml:space="preserve">Подготовка недостаточная и требует дополнительного изучения материала. Студент не способен решать практические задачи из числа рассмотренных на лекциях даже при наводящих вопросах экзаменатора. </w:t>
            </w:r>
          </w:p>
        </w:tc>
      </w:tr>
    </w:tbl>
    <w:p w:rsidR="00BE5C14" w:rsidRDefault="00BE5C14" w:rsidP="00D211CE">
      <w:pPr>
        <w:keepNext/>
        <w:ind w:firstLine="567"/>
        <w:rPr>
          <w:rFonts w:ascii="Times New Roman" w:hAnsi="Times New Roman"/>
          <w:sz w:val="20"/>
          <w:shd w:val="clear" w:color="auto" w:fill="FFFF00"/>
        </w:rPr>
      </w:pPr>
    </w:p>
    <w:p w:rsidR="00BE5C14" w:rsidRDefault="00BE5C14" w:rsidP="00D211CE">
      <w:pPr>
        <w:numPr>
          <w:ilvl w:val="0"/>
          <w:numId w:val="6"/>
        </w:numPr>
        <w:ind w:firstLine="567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sz w:val="24"/>
        </w:rPr>
        <w:t>Критерии и процедуры оценивания результатов обучения по дисциплине (модулю), характеризующих этапы формирования компетенций</w:t>
      </w:r>
    </w:p>
    <w:p w:rsidR="00BE5C14" w:rsidRDefault="00BE5C14" w:rsidP="00D211CE">
      <w:pPr>
        <w:ind w:firstLine="567"/>
        <w:jc w:val="both"/>
        <w:rPr>
          <w:rFonts w:ascii="Times New Roman" w:hAnsi="Times New Roman"/>
          <w:i/>
          <w:sz w:val="20"/>
        </w:rPr>
      </w:pPr>
    </w:p>
    <w:p w:rsidR="00BE5C14" w:rsidRDefault="00BE5C14" w:rsidP="00D211CE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Для оценивания результатов обучения в виде </w:t>
      </w:r>
      <w:r>
        <w:rPr>
          <w:rFonts w:ascii="Times New Roman" w:hAnsi="Times New Roman"/>
          <w:sz w:val="24"/>
          <w:u w:val="single"/>
          <w:shd w:val="clear" w:color="auto" w:fill="FFFFFF"/>
        </w:rPr>
        <w:t>знаний</w:t>
      </w:r>
      <w:r>
        <w:rPr>
          <w:rFonts w:ascii="Times New Roman" w:hAnsi="Times New Roman"/>
          <w:sz w:val="24"/>
          <w:shd w:val="clear" w:color="auto" w:fill="FFFFFF"/>
        </w:rPr>
        <w:t xml:space="preserve"> используются следующие процедуры и технологии:</w:t>
      </w:r>
    </w:p>
    <w:p w:rsidR="00BE5C14" w:rsidRDefault="00BE5C14" w:rsidP="00D211CE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hd w:val="clear" w:color="auto" w:fill="FFFFFF"/>
        </w:rPr>
      </w:pPr>
      <w:r>
        <w:rPr>
          <w:rFonts w:ascii="Times New Roman" w:hAnsi="Times New Roman"/>
          <w:i/>
          <w:sz w:val="24"/>
          <w:shd w:val="clear" w:color="auto" w:fill="FFFFFF"/>
        </w:rPr>
        <w:t>- письменные и устные ответы на вопросы.</w:t>
      </w:r>
    </w:p>
    <w:p w:rsidR="00BE5C14" w:rsidRDefault="00BE5C14" w:rsidP="00D211CE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Для оценивания результатов обучения в виде </w:t>
      </w:r>
      <w:r>
        <w:rPr>
          <w:rFonts w:ascii="Times New Roman" w:hAnsi="Times New Roman"/>
          <w:sz w:val="24"/>
          <w:u w:val="single"/>
          <w:shd w:val="clear" w:color="auto" w:fill="FFFFFF"/>
        </w:rPr>
        <w:t>умений</w:t>
      </w:r>
      <w:r>
        <w:rPr>
          <w:rFonts w:ascii="Times New Roman" w:hAnsi="Times New Roman"/>
          <w:sz w:val="24"/>
          <w:shd w:val="clear" w:color="auto" w:fill="FFFFFF"/>
        </w:rPr>
        <w:t xml:space="preserve"> и </w:t>
      </w:r>
      <w:r>
        <w:rPr>
          <w:rFonts w:ascii="Times New Roman" w:hAnsi="Times New Roman"/>
          <w:sz w:val="24"/>
          <w:u w:val="single"/>
          <w:shd w:val="clear" w:color="auto" w:fill="FFFFFF"/>
        </w:rPr>
        <w:t>владений</w:t>
      </w:r>
      <w:r>
        <w:rPr>
          <w:rFonts w:ascii="Times New Roman" w:hAnsi="Times New Roman"/>
          <w:sz w:val="24"/>
          <w:shd w:val="clear" w:color="auto" w:fill="FFFFFF"/>
        </w:rPr>
        <w:t xml:space="preserve"> используются следующие процедуры и технологии:</w:t>
      </w:r>
    </w:p>
    <w:p w:rsidR="00BE5C14" w:rsidRDefault="00BE5C14" w:rsidP="00D211CE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hd w:val="clear" w:color="auto" w:fill="FFFFFF"/>
        </w:rPr>
      </w:pPr>
      <w:r>
        <w:rPr>
          <w:rFonts w:ascii="Times New Roman" w:hAnsi="Times New Roman"/>
          <w:i/>
          <w:sz w:val="24"/>
          <w:shd w:val="clear" w:color="auto" w:fill="FFFFFF"/>
        </w:rPr>
        <w:t>- контрольные задания.</w:t>
      </w:r>
    </w:p>
    <w:p w:rsidR="00BE5C14" w:rsidRDefault="00BE5C14" w:rsidP="00D211CE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Для проведения итогового контроля сформированности компетенции используется</w:t>
      </w:r>
    </w:p>
    <w:p w:rsidR="00BE5C14" w:rsidRDefault="00BE5C14" w:rsidP="00D211CE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FFFF"/>
        </w:rPr>
        <w:t>- устное собеседование.</w:t>
      </w:r>
    </w:p>
    <w:p w:rsidR="00BE5C14" w:rsidRDefault="00BE5C14" w:rsidP="00D211CE">
      <w:pPr>
        <w:tabs>
          <w:tab w:val="left" w:pos="1134"/>
        </w:tabs>
        <w:ind w:firstLine="567"/>
        <w:rPr>
          <w:rFonts w:ascii="Times New Roman" w:hAnsi="Times New Roman"/>
          <w:sz w:val="24"/>
          <w:shd w:val="clear" w:color="auto" w:fill="FFFFFF"/>
        </w:rPr>
      </w:pPr>
    </w:p>
    <w:p w:rsidR="00BE5C14" w:rsidRDefault="00BE5C14" w:rsidP="00D211CE">
      <w:pPr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 </w:t>
      </w:r>
    </w:p>
    <w:p w:rsidR="00BE5C14" w:rsidRDefault="00BE5C14" w:rsidP="00D211C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Примеры контрольных вопросов для промежуточной аттестации по </w:t>
      </w:r>
      <w:r w:rsidR="00430070">
        <w:rPr>
          <w:rFonts w:ascii="Times New Roman" w:hAnsi="Times New Roman"/>
          <w:sz w:val="24"/>
        </w:rPr>
        <w:t>итогам освоения дисциплины (ПК-2</w:t>
      </w:r>
      <w:r>
        <w:rPr>
          <w:rFonts w:ascii="Times New Roman" w:hAnsi="Times New Roman"/>
          <w:sz w:val="24"/>
        </w:rPr>
        <w:t>):</w:t>
      </w:r>
    </w:p>
    <w:p w:rsidR="00BE5C14" w:rsidRDefault="00BE5C14" w:rsidP="00D211CE">
      <w:pPr>
        <w:ind w:firstLine="567"/>
        <w:jc w:val="both"/>
        <w:rPr>
          <w:rFonts w:ascii="Times New Roman" w:hAnsi="Times New Roman"/>
          <w:sz w:val="24"/>
        </w:rPr>
      </w:pP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Спектральные представления детерминированных сигналов непрерывного и дискретного времен.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Спектральные представления случайных  стационарных сигналов непрерывного и дискретного времен.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Периодограммный метод оценки спектральной плотности мощности стационарных случайных сигналов непрерывного и дискретного времен.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Коррелограммный метод оценки спектральной плотности мощности стационарных случайных сигналов непрерывного и дискретного времен.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 авторегрессии случайных сигналов  дискретного времени и свойства ее спектра.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блочной оценки спектральной плотности мощности стационарных случайных сигналов дискретного времени на основе авторегрессионной модели (алгоритм Юла-Уолкера).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Перекрестные члены частотно-временных распределений и методы борьбы с ними. Распределение Цзуи-Уильямса. Сглаженные распределения.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Линейная фильтрация во время-частотной области на примере распределения Вигнера-Вилля. 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Дискретное преобразование Вигнера-Вилля. Периодичность распределения Вигнера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непрерывного вейвлет преобразования. Примеры базисных функций вейвлет-преобразования и их свойства.</w:t>
      </w:r>
    </w:p>
    <w:p w:rsidR="00BE5C14" w:rsidRDefault="00BE5C14" w:rsidP="00D211CE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Свойства вейвлет-преобразования. Частотно-временная локализация вейвлет-преобразования. Способы представления результатов вейвлет-преобразования. </w:t>
      </w:r>
    </w:p>
    <w:p w:rsidR="00BE5C14" w:rsidRDefault="00BE5C14" w:rsidP="00D211CE">
      <w:pPr>
        <w:ind w:firstLine="567"/>
        <w:jc w:val="both"/>
        <w:rPr>
          <w:rFonts w:ascii="Times New Roman" w:hAnsi="Times New Roman"/>
          <w:sz w:val="24"/>
        </w:rPr>
      </w:pPr>
    </w:p>
    <w:p w:rsidR="00BE5C14" w:rsidRDefault="00BE5C14" w:rsidP="00D211C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оценки сформированности компетенции ПК-</w:t>
      </w:r>
      <w:r w:rsidR="0043007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служат практические контрольные задания (ПКЗ). Примеры типовых ПКЗ: </w:t>
      </w: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</w:p>
    <w:p w:rsidR="00BE5C14" w:rsidRDefault="00BE5C14" w:rsidP="00D211CE">
      <w:pPr>
        <w:numPr>
          <w:ilvl w:val="0"/>
          <w:numId w:val="8"/>
        </w:numPr>
        <w:tabs>
          <w:tab w:val="left" w:pos="36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предложенных двух частот гармонических сигналов оценить частотное разрешение классических методов спектрального анализа;</w:t>
      </w:r>
    </w:p>
    <w:p w:rsidR="00BE5C14" w:rsidRDefault="00BE5C14" w:rsidP="00D211CE">
      <w:pPr>
        <w:numPr>
          <w:ilvl w:val="0"/>
          <w:numId w:val="8"/>
        </w:numPr>
        <w:tabs>
          <w:tab w:val="left" w:pos="36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сигнала заданной длительности и полосы частот оценить потенциальный выигрыш в частотно-временном разрешении при использовании преобразования Вигнера-Вилля по сравнению с классическими алгоритмами;</w:t>
      </w:r>
    </w:p>
    <w:p w:rsidR="00BE5C14" w:rsidRDefault="00BE5C14" w:rsidP="00D211CE">
      <w:pPr>
        <w:numPr>
          <w:ilvl w:val="0"/>
          <w:numId w:val="8"/>
        </w:numPr>
        <w:tabs>
          <w:tab w:val="left" w:pos="36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заданного сигнала предложить наиболее подходящие методы спектрального или частотно-временного оценивания.</w:t>
      </w:r>
    </w:p>
    <w:p w:rsidR="00BE5C14" w:rsidRDefault="00BE5C14" w:rsidP="00D211CE">
      <w:pPr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6.5. Методические материалы, определяющие процедуры оценивания. </w:t>
      </w:r>
    </w:p>
    <w:p w:rsidR="00BE5C14" w:rsidRDefault="00BE5C14" w:rsidP="00D211CE">
      <w:pPr>
        <w:numPr>
          <w:ilvl w:val="0"/>
          <w:numId w:val="9"/>
        </w:num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BE5C14" w:rsidRDefault="00BE5C14" w:rsidP="00D211CE">
      <w:pPr>
        <w:numPr>
          <w:ilvl w:val="0"/>
          <w:numId w:val="9"/>
        </w:num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 о фонде оценочных средств, утвержденное приказом ректора ННГУ от 10.06.2015 №247-ОД.</w:t>
      </w:r>
    </w:p>
    <w:p w:rsidR="00BE5C14" w:rsidRDefault="00BE5C14" w:rsidP="00D211CE">
      <w:pPr>
        <w:tabs>
          <w:tab w:val="left" w:pos="643"/>
        </w:tabs>
        <w:ind w:firstLine="567"/>
        <w:jc w:val="both"/>
        <w:rPr>
          <w:rFonts w:ascii="Times New Roman" w:hAnsi="Times New Roman"/>
          <w:i/>
          <w:sz w:val="24"/>
        </w:rPr>
      </w:pPr>
    </w:p>
    <w:p w:rsidR="00BE5C14" w:rsidRDefault="00BE5C14" w:rsidP="00D211CE">
      <w:pPr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Учебно-методическое и информационное обеспечение дисциплины </w:t>
      </w:r>
    </w:p>
    <w:p w:rsidR="00BE5C14" w:rsidRDefault="00BE5C14" w:rsidP="00D211CE">
      <w:pPr>
        <w:tabs>
          <w:tab w:val="left" w:pos="1230"/>
        </w:tabs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основная литература:</w:t>
      </w:r>
    </w:p>
    <w:p w:rsidR="00BE5C14" w:rsidRDefault="00BE5C14" w:rsidP="00D211CE">
      <w:pPr>
        <w:numPr>
          <w:ilvl w:val="0"/>
          <w:numId w:val="10"/>
        </w:numPr>
        <w:tabs>
          <w:tab w:val="left" w:pos="720"/>
        </w:tabs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Цифровая обработка сигналов [Электронный ресурс] / Оппенгейм А., Шафер Р. - Издание 3-е, исправленное. - М. : Техносфера, 2012. - </w:t>
      </w:r>
      <w:hyperlink r:id="rId6">
        <w:r>
          <w:rPr>
            <w:rFonts w:ascii="Times New Roman" w:hAnsi="Times New Roman"/>
            <w:color w:val="0000FF"/>
            <w:sz w:val="24"/>
            <w:u w:val="single"/>
          </w:rPr>
          <w:t>http://www.studentlibrary.ru/book/ISBN9785948363295.html</w:t>
        </w:r>
      </w:hyperlink>
    </w:p>
    <w:p w:rsidR="00BE5C14" w:rsidRDefault="00BE5C14" w:rsidP="00D211CE">
      <w:pPr>
        <w:numPr>
          <w:ilvl w:val="0"/>
          <w:numId w:val="10"/>
        </w:numPr>
        <w:tabs>
          <w:tab w:val="left" w:pos="142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Методы спектрального оценивания случайных процессов [Электронный ресурс] : Учеб. пособие / Шахтарин Б.И., Ковригин В.А. - 2-е изд, исправ. - М. : Горячая линия - Телеком, 2011. - </w:t>
      </w:r>
      <w:hyperlink r:id="rId7">
        <w:r>
          <w:rPr>
            <w:rFonts w:ascii="Times New Roman" w:hAnsi="Times New Roman"/>
            <w:color w:val="0000FF"/>
            <w:sz w:val="24"/>
            <w:u w:val="single"/>
          </w:rPr>
          <w:t>http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www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studentlibrary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ru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book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ISBN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9785991201681.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"http://www.studentlibrary.ru/book/ISBN9785991201681.html"</w:t>
        </w:r>
        <w:r>
          <w:rPr>
            <w:rFonts w:ascii="Times New Roman" w:hAnsi="Times New Roman"/>
            <w:color w:val="0000FF"/>
            <w:sz w:val="24"/>
            <w:u w:val="single"/>
          </w:rPr>
          <w:t>html</w:t>
        </w:r>
      </w:hyperlink>
    </w:p>
    <w:p w:rsidR="00BE5C14" w:rsidRDefault="00BE5C14" w:rsidP="00D211CE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Основы теории вейвлетов. Вейвлеты в MATLAB [Электронный ресурс] / Смоленцев Н. К. - М. : ДМК Пресс, 2009. - </w:t>
      </w:r>
      <w:hyperlink r:id="rId8">
        <w:r>
          <w:rPr>
            <w:rFonts w:ascii="Times New Roman" w:hAnsi="Times New Roman"/>
            <w:color w:val="0000FF"/>
            <w:sz w:val="24"/>
            <w:u w:val="single"/>
          </w:rPr>
          <w:t>http://www.studentlibrary.ru/book/5-94074-415-X.html</w:t>
        </w:r>
      </w:hyperlink>
    </w:p>
    <w:p w:rsidR="00BE5C14" w:rsidRDefault="00BE5C14" w:rsidP="00D211CE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Кривошеев В.И. Современные методы цифровой обработки сигналов (цифровой спектральный анализ). Учебно-методический материал по программе повышения квалификации «Современные системы мобильной цифровой связи, проблемы помехозащищенности и защиты информации». Нижний Новгород, ННГУ, 2006. - </w:t>
      </w:r>
      <w:hyperlink r:id="rId9">
        <w:r>
          <w:rPr>
            <w:rFonts w:ascii="Times New Roman" w:hAnsi="Times New Roman"/>
            <w:color w:val="0000FF"/>
            <w:sz w:val="24"/>
            <w:u w:val="single"/>
          </w:rPr>
          <w:t>http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www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rf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unn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ru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rus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chairs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k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7/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RF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_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NNSU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Krivosheev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_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Book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_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DSA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4"/>
            <w:u w:val="single"/>
          </w:rPr>
          <w:t>HYPERLINK "http://www.rf.unn.ru/rus/chairs/k7/RF_NNSU/Krivosheev_Book_DSA.pdf"</w:t>
        </w:r>
        <w:r>
          <w:rPr>
            <w:rFonts w:ascii="Times New Roman" w:hAnsi="Times New Roman"/>
            <w:color w:val="0000FF"/>
            <w:sz w:val="24"/>
            <w:u w:val="single"/>
          </w:rPr>
          <w:t>pdf</w:t>
        </w:r>
      </w:hyperlink>
    </w:p>
    <w:p w:rsidR="00BE5C14" w:rsidRDefault="00BE5C14" w:rsidP="00D211CE">
      <w:pPr>
        <w:tabs>
          <w:tab w:val="left" w:pos="1230"/>
        </w:tabs>
        <w:ind w:firstLine="567"/>
        <w:rPr>
          <w:rFonts w:ascii="Times New Roman" w:hAnsi="Times New Roman"/>
          <w:sz w:val="24"/>
        </w:rPr>
      </w:pPr>
    </w:p>
    <w:p w:rsidR="00BE5C14" w:rsidRDefault="00BE5C14" w:rsidP="00D211CE">
      <w:pPr>
        <w:tabs>
          <w:tab w:val="left" w:pos="1230"/>
        </w:tabs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дополнительная литература:</w:t>
      </w:r>
    </w:p>
    <w:p w:rsidR="00BE5C14" w:rsidRDefault="00BE5C14" w:rsidP="00D211CE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Цифровая обработка сигналов в LabVIEW [Электронный ресурс] : учеб. пособие / Федосов В. П., Нестеренко А. К. - М. : ДМК Пресс, 2009. - </w:t>
      </w:r>
      <w:hyperlink r:id="rId10">
        <w:r>
          <w:rPr>
            <w:rFonts w:ascii="Times New Roman" w:hAnsi="Times New Roman"/>
            <w:color w:val="0000FF"/>
            <w:sz w:val="24"/>
            <w:u w:val="single"/>
          </w:rPr>
          <w:t>http://www.studentlibrary.ru/book/ISBN5940743420.html</w:t>
        </w:r>
      </w:hyperlink>
    </w:p>
    <w:p w:rsidR="00BE5C14" w:rsidRDefault="00BE5C14" w:rsidP="00D211CE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Вейвлеты. От теории к практике [Электронный ресурс] / В.П. Дьяконов - М. : СОЛОН-ПРЕСС, 2008. - </w:t>
      </w:r>
      <w:hyperlink r:id="rId11">
        <w:r>
          <w:rPr>
            <w:rFonts w:ascii="Times New Roman" w:hAnsi="Times New Roman"/>
            <w:color w:val="0000FF"/>
            <w:sz w:val="24"/>
            <w:u w:val="single"/>
          </w:rPr>
          <w:t>http://www.studentlibrary.ru/book/ISBN5980031715.html</w:t>
        </w:r>
      </w:hyperlink>
    </w:p>
    <w:p w:rsidR="00BE5C14" w:rsidRDefault="00BE5C14" w:rsidP="00D211CE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Оконные функции для гармонического анализа сигналов [Электронный ресурс] / Дворкович В.П., Дворкович А.В. - М. : Техносфера, 2014. - </w:t>
      </w:r>
      <w:hyperlink r:id="rId12">
        <w:r>
          <w:rPr>
            <w:rFonts w:ascii="Times New Roman" w:hAnsi="Times New Roman"/>
            <w:color w:val="0000FF"/>
            <w:sz w:val="24"/>
            <w:u w:val="single"/>
          </w:rPr>
          <w:t>http://www.studentlibrary.ru/book/ISBN9785948363738.html</w:t>
        </w:r>
      </w:hyperlink>
    </w:p>
    <w:p w:rsidR="00BE5C14" w:rsidRDefault="00BE5C14" w:rsidP="00D211CE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Кривошеев В.И. Современные методы цифрового спектрального анализа: Авторегрессионное  оценивание спектров. Практикум. ННГУ, 2010. - </w:t>
      </w:r>
      <w:hyperlink r:id="rId13">
        <w:r>
          <w:rPr>
            <w:rFonts w:ascii="Times New Roman" w:hAnsi="Times New Roman"/>
            <w:color w:val="0000FF"/>
            <w:sz w:val="24"/>
            <w:u w:val="single"/>
          </w:rPr>
          <w:t>http://www.rf.unn.ru/rus/chairs/k7/RF_NNSU/Krivosheev_Book_DSA.pdf</w:t>
        </w:r>
      </w:hyperlink>
    </w:p>
    <w:p w:rsidR="00BE5C14" w:rsidRDefault="00BE5C14" w:rsidP="00D211CE">
      <w:pPr>
        <w:ind w:firstLine="567"/>
        <w:jc w:val="both"/>
        <w:rPr>
          <w:rFonts w:ascii="Times New Roman" w:hAnsi="Times New Roman"/>
          <w:sz w:val="24"/>
        </w:rPr>
      </w:pP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программное обеспечение и Интернет-ресурсы </w:t>
      </w:r>
    </w:p>
    <w:p w:rsidR="00BE5C14" w:rsidRPr="002A7CF4" w:rsidRDefault="00BE5C14" w:rsidP="00D211CE">
      <w:pPr>
        <w:numPr>
          <w:ilvl w:val="0"/>
          <w:numId w:val="12"/>
        </w:numPr>
        <w:tabs>
          <w:tab w:val="left" w:pos="440"/>
        </w:tabs>
        <w:ind w:firstLine="567"/>
        <w:rPr>
          <w:rFonts w:ascii="Times New Roman" w:hAnsi="Times New Roman"/>
          <w:sz w:val="24"/>
          <w:lang w:val="en-US"/>
        </w:rPr>
      </w:pPr>
      <w:r w:rsidRPr="002A7CF4">
        <w:rPr>
          <w:rFonts w:ascii="Times New Roman" w:hAnsi="Times New Roman"/>
          <w:sz w:val="24"/>
          <w:lang w:val="en-US"/>
        </w:rPr>
        <w:t>http://www. dsp-book.narod.ru</w:t>
      </w:r>
    </w:p>
    <w:p w:rsidR="00BE5C14" w:rsidRDefault="00BE5C14" w:rsidP="00D211CE">
      <w:pPr>
        <w:numPr>
          <w:ilvl w:val="0"/>
          <w:numId w:val="12"/>
        </w:numPr>
        <w:tabs>
          <w:tab w:val="left" w:pos="440"/>
        </w:tabs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http://www. pselab.ru</w:t>
      </w: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</w:p>
    <w:p w:rsidR="00BE5C14" w:rsidRDefault="00BE5C14" w:rsidP="00D211CE">
      <w:pPr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Материально-техническое обеспечение дисциплины (модуля) </w:t>
      </w: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Доска, мел, мультимедийный проектор, компьютер, подключенный к сети Интернет.</w:t>
      </w:r>
    </w:p>
    <w:p w:rsidR="00BE5C14" w:rsidRDefault="00BE5C14" w:rsidP="00D211CE">
      <w:pPr>
        <w:ind w:firstLine="567"/>
        <w:jc w:val="both"/>
        <w:rPr>
          <w:rFonts w:ascii="Times New Roman" w:hAnsi="Times New Roman"/>
          <w:sz w:val="24"/>
        </w:rPr>
      </w:pPr>
    </w:p>
    <w:p w:rsidR="00BE5C14" w:rsidRPr="0058649A" w:rsidRDefault="00BE5C14" w:rsidP="00D211C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составлена в соответствии с требованиями ФГОС ВПО/ВО с учетом рекомендаций и ОПОП ВПО по направлению 11</w:t>
      </w:r>
      <w:r w:rsidRPr="0058649A">
        <w:rPr>
          <w:rFonts w:ascii="Times New Roman" w:hAnsi="Times New Roman"/>
          <w:sz w:val="24"/>
        </w:rPr>
        <w:t>.05.</w:t>
      </w:r>
      <w:r w:rsidRPr="00837405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 «Специальные радиотехнические системы»</w:t>
      </w: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Автор (ы):   </w:t>
      </w:r>
      <w:r w:rsidR="00D211CE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к.ф.-м.н. Сорокин И.С.</w:t>
      </w:r>
    </w:p>
    <w:p w:rsidR="00BE5C14" w:rsidRPr="002A7CF4" w:rsidRDefault="00BE5C14" w:rsidP="00D211CE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Рецензент (ы) </w:t>
      </w:r>
      <w:r w:rsidR="00D211CE"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>профессор Орлов И.Я</w:t>
      </w: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Заведующий кафедрой БСРФ, </w:t>
      </w:r>
      <w:r w:rsidR="00D211CE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профессор, д.ф.-м.н., Мальцев А.А.</w:t>
      </w:r>
    </w:p>
    <w:p w:rsidR="00BE5C14" w:rsidRDefault="00BE5C14" w:rsidP="00D211CE">
      <w:pPr>
        <w:ind w:firstLine="567"/>
        <w:rPr>
          <w:rFonts w:ascii="Times New Roman" w:hAnsi="Times New Roman"/>
          <w:sz w:val="24"/>
        </w:rPr>
      </w:pPr>
    </w:p>
    <w:p w:rsidR="00BE5C14" w:rsidRDefault="00BE5C14" w:rsidP="00D211CE">
      <w:pPr>
        <w:ind w:firstLine="567"/>
        <w:rPr>
          <w:rFonts w:ascii="Arial" w:hAnsi="Arial" w:cs="Arial"/>
          <w:color w:val="000000"/>
          <w:sz w:val="23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Программа одобрена на заседании методической комиссии радиофизического факультета</w:t>
      </w:r>
    </w:p>
    <w:p w:rsidR="00BE5C14" w:rsidRDefault="00BE5C14" w:rsidP="00D211CE">
      <w:pPr>
        <w:ind w:firstLine="567"/>
        <w:rPr>
          <w:rFonts w:ascii="Arial" w:hAnsi="Arial" w:cs="Arial"/>
          <w:color w:val="000000"/>
          <w:sz w:val="23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 </w:t>
      </w:r>
    </w:p>
    <w:p w:rsidR="00BE5C14" w:rsidRDefault="00BE5C14" w:rsidP="00D211CE">
      <w:pPr>
        <w:ind w:firstLine="567"/>
        <w:rPr>
          <w:rFonts w:ascii="Arial" w:hAnsi="Arial" w:cs="Arial"/>
          <w:color w:val="000000"/>
          <w:sz w:val="23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Протокол 4/17 от 30.08.</w:t>
      </w:r>
      <w:r w:rsidR="0015106F">
        <w:rPr>
          <w:rFonts w:ascii="Times New Roman" w:hAnsi="Times New Roman"/>
          <w:b/>
          <w:color w:val="000000"/>
          <w:sz w:val="24"/>
          <w:shd w:val="clear" w:color="auto" w:fill="FFFFFF"/>
        </w:rPr>
        <w:t>2021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года.</w:t>
      </w:r>
    </w:p>
    <w:p w:rsidR="00BE5C14" w:rsidRDefault="00BE5C14" w:rsidP="00D211CE">
      <w:pPr>
        <w:ind w:firstLine="567"/>
        <w:jc w:val="both"/>
        <w:rPr>
          <w:rFonts w:ascii="Times New Roman" w:hAnsi="Times New Roman"/>
          <w:sz w:val="28"/>
        </w:rPr>
      </w:pPr>
    </w:p>
    <w:sectPr w:rsidR="00BE5C14" w:rsidSect="00D211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BE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DD142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9D5144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4C94E9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97A29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75D089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EA6721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3A738C8"/>
    <w:multiLevelType w:val="hybridMultilevel"/>
    <w:tmpl w:val="D33672C4"/>
    <w:lvl w:ilvl="0" w:tplc="50B2451E">
      <w:start w:val="2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50D607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C40165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1D42A1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21428A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E431FA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BBC"/>
    <w:rsid w:val="00011759"/>
    <w:rsid w:val="0015106F"/>
    <w:rsid w:val="00277E2F"/>
    <w:rsid w:val="002A7CF4"/>
    <w:rsid w:val="00333314"/>
    <w:rsid w:val="003C6287"/>
    <w:rsid w:val="003C7E27"/>
    <w:rsid w:val="00430070"/>
    <w:rsid w:val="00553F28"/>
    <w:rsid w:val="0058649A"/>
    <w:rsid w:val="005F0BBC"/>
    <w:rsid w:val="00687441"/>
    <w:rsid w:val="00793FEF"/>
    <w:rsid w:val="00837405"/>
    <w:rsid w:val="008C0E94"/>
    <w:rsid w:val="00AD1C51"/>
    <w:rsid w:val="00AF38CB"/>
    <w:rsid w:val="00BE5C14"/>
    <w:rsid w:val="00BF6AEB"/>
    <w:rsid w:val="00D211CE"/>
    <w:rsid w:val="00FB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E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300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5-94074-415-X.html" TargetMode="External"/><Relationship Id="rId13" Type="http://schemas.openxmlformats.org/officeDocument/2006/relationships/hyperlink" Target="http://www.rf.unn.ru/rus/chairs/k7/RF_NNSU/Krivosheev_Book_DS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udentlibrary.ru/book/ISBN9785991201681.html" TargetMode="External"/><Relationship Id="rId12" Type="http://schemas.openxmlformats.org/officeDocument/2006/relationships/hyperlink" Target="http://www.studentlibrary.ru/book/ISBN9785948363738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entlibrary.ru/book/ISBN9785948363295.html" TargetMode="External"/><Relationship Id="rId11" Type="http://schemas.openxmlformats.org/officeDocument/2006/relationships/hyperlink" Target="http://www.studentlibrary.ru/book/ISBN598003171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59407434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f.unn.ru/rus/chairs/k7/RF_NNSU/Krivosheev_Book_DS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88C85-35F1-4CA3-A02F-BA2AD9A6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2752</Words>
  <Characters>15689</Characters>
  <Application>Microsoft Office Word</Application>
  <DocSecurity>0</DocSecurity>
  <Lines>130</Lines>
  <Paragraphs>36</Paragraphs>
  <ScaleCrop>false</ScaleCrop>
  <Company/>
  <LinksUpToDate>false</LinksUpToDate>
  <CharactersWithSpaces>18405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Students</cp:lastModifiedBy>
  <cp:revision>12</cp:revision>
  <cp:lastPrinted>2018-04-03T10:54:00Z</cp:lastPrinted>
  <dcterms:created xsi:type="dcterms:W3CDTF">2018-04-03T10:51:00Z</dcterms:created>
  <dcterms:modified xsi:type="dcterms:W3CDTF">2021-04-05T12:35:00Z</dcterms:modified>
</cp:coreProperties>
</file>