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5E2D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5E2DB7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DB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5E2DB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AB4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«Криминалистика»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AB4947" w:rsidP="00AB4947">
      <w:pPr>
        <w:tabs>
          <w:tab w:val="left" w:pos="569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AB494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7">
        <w:rPr>
          <w:rFonts w:ascii="Times New Roman" w:hAnsi="Times New Roman"/>
          <w:b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DB7" w:rsidRDefault="005E2DB7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</w:t>
      </w:r>
      <w:proofErr w:type="gramStart"/>
      <w:r w:rsidR="00602C77"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5E2DB7">
        <w:rPr>
          <w:rFonts w:ascii="Times New Roman" w:hAnsi="Times New Roman"/>
          <w:sz w:val="28"/>
          <w:szCs w:val="28"/>
        </w:rPr>
        <w:t>к.ю.н</w:t>
      </w:r>
      <w:proofErr w:type="spellEnd"/>
      <w:r w:rsidR="005E2DB7">
        <w:rPr>
          <w:rFonts w:ascii="Times New Roman" w:hAnsi="Times New Roman"/>
          <w:sz w:val="28"/>
          <w:szCs w:val="28"/>
        </w:rPr>
        <w:t>. Сумин А.Е.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E2DB7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5E2D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5E2DB7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0F2D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3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7F10CE">
        <w:rPr>
          <w:rFonts w:ascii="Times New Roman" w:hAnsi="Times New Roman"/>
          <w:b/>
          <w:sz w:val="24"/>
          <w:szCs w:val="24"/>
        </w:rPr>
        <w:t>...</w:t>
      </w:r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6</w:t>
      </w:r>
      <w:r w:rsidR="007F10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F10C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Криминалистика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</w:t>
      </w:r>
      <w:r w:rsidRPr="007F10CE">
        <w:rPr>
          <w:rFonts w:ascii="Times New Roman" w:hAnsi="Times New Roman"/>
          <w:b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801A5" w:rsidRPr="002801A5" w:rsidRDefault="002801A5" w:rsidP="002801A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801A5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</w:t>
      </w:r>
      <w:r w:rsidR="00D04CA2">
        <w:rPr>
          <w:rFonts w:ascii="Times New Roman" w:hAnsi="Times New Roman"/>
          <w:sz w:val="28"/>
          <w:szCs w:val="28"/>
        </w:rPr>
        <w:t>следует за освоением уголовного права</w:t>
      </w:r>
      <w:r w:rsidR="00AB4947">
        <w:rPr>
          <w:rFonts w:ascii="Times New Roman" w:hAnsi="Times New Roman"/>
          <w:sz w:val="28"/>
          <w:szCs w:val="28"/>
        </w:rPr>
        <w:t xml:space="preserve"> и уголовно процесса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4947" w:rsidRPr="00AB4947" w:rsidRDefault="00921EFA" w:rsidP="002801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AB4947">
        <w:rPr>
          <w:rFonts w:ascii="Times New Roman" w:hAnsi="Times New Roman"/>
          <w:b/>
          <w:sz w:val="28"/>
          <w:szCs w:val="28"/>
        </w:rPr>
        <w:t>Целями</w:t>
      </w:r>
      <w:r w:rsidR="00E838C4" w:rsidRPr="00AB4947">
        <w:rPr>
          <w:rFonts w:ascii="Times New Roman" w:hAnsi="Times New Roman"/>
          <w:sz w:val="28"/>
          <w:szCs w:val="28"/>
        </w:rPr>
        <w:t xml:space="preserve"> </w:t>
      </w:r>
      <w:r w:rsidR="002801A5" w:rsidRPr="00AB4947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AB4947" w:rsidRPr="00AB4947">
        <w:rPr>
          <w:rFonts w:ascii="Times New Roman" w:hAnsi="Times New Roman"/>
          <w:sz w:val="28"/>
          <w:szCs w:val="28"/>
        </w:rPr>
        <w:t>приобретение курсантами знаний, умений и навыков, связанных с обнаружением, фиксацией, специальным исследованием, анализом, оценкой и использованием доказательственной информации по материалам предварительной проверки и уголовным делам.</w:t>
      </w:r>
    </w:p>
    <w:p w:rsidR="00AB4947" w:rsidRDefault="00921EFA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Задачи:</w:t>
      </w:r>
      <w:r w:rsidR="00812D42" w:rsidRPr="00921EFA">
        <w:rPr>
          <w:rFonts w:ascii="Times New Roman" w:hAnsi="Times New Roman"/>
          <w:sz w:val="28"/>
          <w:szCs w:val="28"/>
        </w:rPr>
        <w:t xml:space="preserve"> </w:t>
      </w:r>
    </w:p>
    <w:p w:rsidR="00AB4947" w:rsidRPr="00AB4947" w:rsidRDefault="00AB4947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B4947">
        <w:rPr>
          <w:rFonts w:ascii="Times New Roman" w:hAnsi="Times New Roman"/>
          <w:bCs/>
          <w:sz w:val="28"/>
          <w:szCs w:val="28"/>
        </w:rPr>
        <w:t xml:space="preserve">дать обучаемым </w:t>
      </w:r>
      <w:r w:rsidRPr="00AB4947">
        <w:rPr>
          <w:rFonts w:ascii="Times New Roman" w:hAnsi="Times New Roman"/>
          <w:sz w:val="28"/>
          <w:szCs w:val="28"/>
        </w:rPr>
        <w:t xml:space="preserve">представление об основных положениях общей теории криминалистики, криминалистических понятиях и категориях, рекомендациях криминалистической техники, тактики, методики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делам;  </w:t>
      </w:r>
    </w:p>
    <w:p w:rsidR="008777C8" w:rsidRDefault="00AB4947" w:rsidP="00AB494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B4947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AB4947">
        <w:rPr>
          <w:rFonts w:ascii="Times New Roman" w:hAnsi="Times New Roman"/>
          <w:bCs/>
          <w:sz w:val="28"/>
          <w:szCs w:val="28"/>
        </w:rPr>
        <w:t xml:space="preserve">передать обучаемым </w:t>
      </w:r>
      <w:r w:rsidRPr="00AB4947">
        <w:rPr>
          <w:rFonts w:ascii="Times New Roman" w:hAnsi="Times New Roman"/>
          <w:sz w:val="28"/>
          <w:szCs w:val="28"/>
        </w:rPr>
        <w:t>знания по организационным вопросам процесса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делам.</w:t>
      </w:r>
    </w:p>
    <w:p w:rsidR="00AB4947" w:rsidRPr="00AB4947" w:rsidRDefault="00AB4947" w:rsidP="00AB4947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B4947" w:rsidRPr="008777C8" w:rsidRDefault="00AB494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б) особенности механизма </w:t>
      </w:r>
      <w:proofErr w:type="spellStart"/>
      <w:r w:rsidRPr="00AB4947">
        <w:rPr>
          <w:rFonts w:ascii="Times New Roman" w:hAnsi="Times New Roman"/>
          <w:sz w:val="28"/>
          <w:szCs w:val="28"/>
        </w:rPr>
        <w:t>следообразования</w:t>
      </w:r>
      <w:proofErr w:type="spellEnd"/>
      <w:r w:rsidRPr="00AB494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B4947">
        <w:rPr>
          <w:rFonts w:ascii="Times New Roman" w:hAnsi="Times New Roman"/>
          <w:sz w:val="28"/>
          <w:szCs w:val="28"/>
        </w:rPr>
        <w:t>процессе  реализации</w:t>
      </w:r>
      <w:proofErr w:type="gramEnd"/>
      <w:r w:rsidRPr="00AB4947">
        <w:rPr>
          <w:rFonts w:ascii="Times New Roman" w:hAnsi="Times New Roman"/>
          <w:sz w:val="28"/>
          <w:szCs w:val="28"/>
        </w:rPr>
        <w:t xml:space="preserve"> субъектами преступной деятельности различных криминальных технологий;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в)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lastRenderedPageBreak/>
        <w:t>г)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д)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</w:r>
    </w:p>
    <w:p w:rsidR="008777C8" w:rsidRDefault="00AB4947" w:rsidP="00AB49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947">
        <w:rPr>
          <w:rFonts w:ascii="Times New Roman" w:hAnsi="Times New Roman"/>
          <w:sz w:val="28"/>
          <w:szCs w:val="28"/>
        </w:rPr>
        <w:t>е) тактические приемы собирания, проверки, оценки и представления доказательств на стадии досудебного производства.</w:t>
      </w:r>
    </w:p>
    <w:p w:rsidR="00AB4947" w:rsidRPr="00AB4947" w:rsidRDefault="00AB4947" w:rsidP="00AB4947">
      <w:pPr>
        <w:pStyle w:val="a4"/>
        <w:rPr>
          <w:rFonts w:ascii="Times New Roman" w:hAnsi="Times New Roman"/>
          <w:sz w:val="28"/>
          <w:szCs w:val="28"/>
        </w:rPr>
      </w:pPr>
    </w:p>
    <w:p w:rsidR="00602C77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4947" w:rsidRPr="008777C8" w:rsidRDefault="00AB4947" w:rsidP="008777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обнаруживать и процессуальным образом фиксировать следы-признаки механизмов преступной деятельности;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б) анализировать и проверять исходную и последующую доказательственную информацию;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в) выдвигать и разрабатывать версии в процессе работы по уголовным делам различной категории.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г) планировать процесс предварительного расследования в процессе работы по уголовным делам различной категории;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д)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</w:r>
    </w:p>
    <w:p w:rsidR="00AB4947" w:rsidRPr="00AB4947" w:rsidRDefault="00AB4947" w:rsidP="00AB4947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е) взаимодействовать с различными службами и подразделениями в рамках проводимого расследования.</w:t>
      </w:r>
    </w:p>
    <w:p w:rsidR="00820172" w:rsidRDefault="008777C8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 xml:space="preserve"> </w:t>
      </w:r>
      <w:r w:rsidRPr="008777C8">
        <w:rPr>
          <w:rFonts w:ascii="Times New Roman" w:hAnsi="Times New Roman"/>
          <w:sz w:val="28"/>
          <w:szCs w:val="28"/>
        </w:rPr>
        <w:br/>
      </w:r>
      <w:r w:rsidR="00AB4947" w:rsidRPr="00AB4947">
        <w:rPr>
          <w:rFonts w:ascii="Times New Roman" w:hAnsi="Times New Roman"/>
          <w:b/>
          <w:bCs/>
          <w:sz w:val="28"/>
          <w:szCs w:val="28"/>
        </w:rPr>
        <w:t>должен владеть навыками по:</w:t>
      </w:r>
    </w:p>
    <w:p w:rsidR="00820172" w:rsidRDefault="00820172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обоснованию и принятию процессуальных и тактических решений;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проведению отдельных проверочных и процессуальных действий;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 следственно-оперативной группы на месте происшествия и руководству ее деятельностью;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AB4947" w:rsidRPr="00AB4947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работы, обеспечению координации действий всех служб органов внутренних дел, других правоохранительных структур, а также использованию помощи населения и средств массовой информации в процессе работы по уголовным делам различной категории.</w:t>
      </w:r>
    </w:p>
    <w:p w:rsidR="008777C8" w:rsidRDefault="008777C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22886" w:rsidRDefault="00422886" w:rsidP="00422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владеть общими и профессиональными компетенциями:</w:t>
      </w:r>
    </w:p>
    <w:p w:rsidR="00422886" w:rsidRDefault="00422886" w:rsidP="00422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422886" w:rsidRDefault="00422886" w:rsidP="00422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2886" w:rsidRDefault="00422886" w:rsidP="00422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422886" w:rsidRDefault="00422886" w:rsidP="00422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422886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422886" w:rsidRDefault="00422886" w:rsidP="00422886">
      <w:pPr>
        <w:pStyle w:val="af4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422886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422886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422886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422886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</w:t>
      </w:r>
      <w:r>
        <w:rPr>
          <w:rFonts w:ascii="Times New Roman" w:hAnsi="Times New Roman" w:cs="Times New Roman"/>
          <w:sz w:val="28"/>
        </w:rPr>
        <w:t>тветствии с профилем подготовки.</w:t>
      </w:r>
    </w:p>
    <w:p w:rsidR="00422886" w:rsidRPr="00120DED" w:rsidRDefault="00422886" w:rsidP="00422886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422886" w:rsidRDefault="0042288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AB4947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AB494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9C1DEB">
        <w:rPr>
          <w:rFonts w:ascii="Times New Roman" w:hAnsi="Times New Roman"/>
          <w:sz w:val="28"/>
          <w:szCs w:val="28"/>
        </w:rPr>
        <w:t>26</w:t>
      </w:r>
      <w:r w:rsidR="00E838C4">
        <w:rPr>
          <w:rFonts w:ascii="Times New Roman" w:hAnsi="Times New Roman"/>
          <w:sz w:val="28"/>
          <w:szCs w:val="28"/>
        </w:rPr>
        <w:t xml:space="preserve"> часов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AB4947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AB4947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A7D62" w:rsidRDefault="00CA7D6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A7D62" w:rsidRDefault="00CA7D6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04C61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C1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6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16D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9C1DEB">
        <w:rPr>
          <w:rFonts w:ascii="Times New Roman" w:hAnsi="Times New Roman"/>
          <w:b/>
          <w:sz w:val="28"/>
          <w:szCs w:val="28"/>
        </w:rPr>
        <w:t>Криминалистика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2817"/>
        <w:gridCol w:w="814"/>
        <w:gridCol w:w="1041"/>
      </w:tblGrid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63A03" w:rsidRDefault="00602C77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F25F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A3E1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3E1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264B0" w:rsidTr="00F83BB5">
        <w:trPr>
          <w:trHeight w:val="20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D264B0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1. </w:t>
            </w:r>
          </w:p>
          <w:p w:rsidR="00D264B0" w:rsidRDefault="00D264B0" w:rsidP="006432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криминалистики</w:t>
            </w:r>
          </w:p>
          <w:p w:rsidR="00D264B0" w:rsidRPr="0030391D" w:rsidRDefault="00D264B0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64B0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4"/>
                <w:szCs w:val="24"/>
              </w:rPr>
              <w:t>Общая и частная теория криминалистики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D264B0" w:rsidRPr="00D264B0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>История возникновения, становления и развития криминалистической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Общая и частная теория криминалистики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D264B0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Криминалистические средства и методы в деятельности по расследованию и предупреждению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D264B0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  <w:r w:rsidRPr="00F83BB5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D264B0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Понятие и система криминалистических средств, которые применяются в деятельности по расследованию и предупреждению преступлений. Криминалистические методы и средства, применяемые в оперативно-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разыскной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деятельности. Криминалистические методы и средства, применяемые в деятельности следователя. Система криминалистических средств предупреждения преступлений.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4B0" w:rsidRPr="000A3E1B" w:rsidRDefault="00D264B0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2.</w:t>
            </w:r>
            <w:r w:rsidRPr="00D264B0">
              <w:rPr>
                <w:b/>
                <w:bCs/>
              </w:rPr>
              <w:t xml:space="preserve"> </w:t>
            </w:r>
            <w:r w:rsidRPr="00F83BB5">
              <w:rPr>
                <w:rFonts w:ascii="Times New Roman" w:hAnsi="Times New Roman"/>
                <w:b/>
                <w:bCs/>
              </w:rPr>
              <w:t>Криминалистическая техника в расследовании преступлений</w:t>
            </w:r>
            <w:r w:rsidRPr="00F83B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83BB5" w:rsidRPr="0030391D" w:rsidRDefault="00F83BB5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>
              <w:t xml:space="preserve"> </w:t>
            </w:r>
            <w:r w:rsidRPr="00F83BB5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F83BB5">
              <w:rPr>
                <w:rFonts w:ascii="Times New Roman" w:hAnsi="Times New Roman"/>
                <w:sz w:val="20"/>
                <w:szCs w:val="20"/>
              </w:rPr>
              <w:lastRenderedPageBreak/>
              <w:t>криминалистической техники как раздела науки криминалистики и комплекса материальных средств, используемых при раскрытии и расследо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вании преступлений. Система криминалистической техники как раздела науки криминалистики и ее связь с другими разделами криминалистики. Отрасли криминалистической техники, их система и направления исследо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ваний. Тенденции развития криминалистической техники. Правовые основы применения технико-криминалистических средств и ме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тодов. Субъекты и формы применения технико-криминалистических средств и методов. Связь криминалистической техники с другими науками (судебная медици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на, химия, физика, биология и т.д.), положения которых используются в крими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налистике.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404C6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B4B3A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rPr>
          <w:trHeight w:val="506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фотография и видеозапись в практике расследования и предупреждения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F83BB5" w:rsidRPr="00F83BB5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Криминалистическая фотография, киносъемка и видеозапись Понятие и научные основы криминалистической фотографии, киносъемки и видеозаписи как отрасли криминалистической техники. Система криминалистической фотографии. Фотографические средства, используемые при раскрытии, расследовании и предупреждении преступлений. Возможности применения цифровой фотогра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фии. Формы применения фотографических средств и методов в деятельности ОВД.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BE3371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83BB5" w:rsidRPr="0030391D" w:rsidRDefault="00F83BB5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трасология в практике расследования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Понятие, предмет, задачи и система криминалистического учения о следах (трасологии). Характеристика информации о преступлении и его участниках, запечатленной о следах, изучаемых трасологией. Использование 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трасологической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информации о расследовании преступлений.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4C3094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DB5014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BE7706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регистрация, использование информации о совершенных ранее преступлениях в процессе расследования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 xml:space="preserve">Криминалистическая регистрация как отрасль криминалистической техники, ее содержание, задачи, научные и правовые основы. Роль и значение криминалистической регистрации в борьбе с преступностью.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FA1D46">
        <w:trPr>
          <w:trHeight w:val="29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FA1D4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405C40">
        <w:trPr>
          <w:trHeight w:val="70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экспертиза, ее значение в доказывании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Вещества как следы преступления. Виды следов-веществ. Фактические данные, которые могут быть установлены в результате осмотра и экспертного исследования следов-веществ.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Обнаружение, фиксация и изъятие следов-веществ; применяемые при этом средства и методы. Экспертные исследования следов-веществ: основные цели и возможности. Требования, предъявляемые к материалам, представляемым на экспертизу.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405C40">
        <w:trPr>
          <w:trHeight w:val="332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C7" w:rsidRPr="000A3E1B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10C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10C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9C1D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AF388A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3. Криминалистические основы деятельности по расследованию преступлений</w:t>
            </w: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8.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Общая структура деятельности по расследованию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C21DC7" w:rsidRPr="000A3E1B" w:rsidRDefault="00C21DC7" w:rsidP="00C21DC7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 xml:space="preserve">Понятие, значение и формы расследования преступлений. Понятие и содержание </w:t>
            </w:r>
            <w:r w:rsidRPr="00C21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оперативно-розыскной формы расследования. Понятие и разновидности </w:t>
            </w:r>
            <w:proofErr w:type="spellStart"/>
            <w:r w:rsidRPr="00C21DC7">
              <w:rPr>
                <w:rFonts w:ascii="Times New Roman" w:hAnsi="Times New Roman"/>
                <w:sz w:val="20"/>
                <w:szCs w:val="20"/>
              </w:rPr>
              <w:t>дознавательской</w:t>
            </w:r>
            <w:proofErr w:type="spellEnd"/>
            <w:r w:rsidRPr="00C21DC7">
              <w:rPr>
                <w:rFonts w:ascii="Times New Roman" w:hAnsi="Times New Roman"/>
                <w:sz w:val="20"/>
                <w:szCs w:val="20"/>
              </w:rPr>
              <w:t xml:space="preserve"> формы расследования. Содержание и функции следственной формы расследования.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AF388A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8E2DD6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rPr>
          <w:trHeight w:val="460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9</w:t>
            </w:r>
          </w:p>
          <w:p w:rsidR="00C21DC7" w:rsidRPr="0030391D" w:rsidRDefault="00C21DC7" w:rsidP="00AE2AD9">
            <w:pPr>
              <w:ind w:firstLine="7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Криминалистическая характеристика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Понятие и значение криминалистической характеристики в криминалистике и практике расследования.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Виды криминалистической характеристики. Элементная криминалистическая характеристика. Фазовый анализ преступной деятельности. Понятие базовой и видовой криминалистической характеристики. Подходы и формирование криминалистической характеристики в практике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 w:rsidP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0356DE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537079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Default="005A074A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4. Криминалистическая тактика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10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Понятие, содержание и задачи криминалистической тактики.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Использование специальных познаний расследования преступлений.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Понятие и содержание криминалистической тактики. Связь криминалистической тактики с разделами курса криминалистики. Следственная ситуация. Объективные факторы, влияющие на формирование следственной ситуации. Субъективные факторы, формирующие следственную ситуацию. Тактическая рекомендация. Тактическое решение. Тактический риск. Тактический прием. Требования, предъявляемые к тактическим приемам. Тактическая операция.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01172C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C62DE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5. Криминалистическая методика</w:t>
            </w: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11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методики расследования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Основные теоретические положения криминалистической методики. Взаимосвязь криминалистической методики с криминалистической техникой и тактикой. Принципы формирования и развития методики. Основные этапы расследованы. Базовые и видовые криминалистические характеристики преступлений.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Ситуационность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многовариантность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методик расследования. Типичные следственные ситуации. Классификации частных криминалистических методик. Элементы частных криминалистических методик.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rPr>
          <w:trHeight w:val="580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83235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3258E2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12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жизни и здоровья граждан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Криминалистическая характеристика преступлений против жизни и здоровья. Особенности места и времени совершения преступлений. Способы совершения преступлений против жизни и здоровья. Особенности реализации некоторых криминальных схем.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3258E2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7F10C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4D03D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7F10C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7F10C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DF2175">
        <w:trPr>
          <w:trHeight w:val="4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13</w:t>
            </w:r>
          </w:p>
          <w:p w:rsidR="005A074A" w:rsidRPr="0030391D" w:rsidRDefault="005A074A" w:rsidP="00B123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собственности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Криминалистическая характеристика краж, грабежей и разбоев. Особенности субъектов преступной деятельности. Этапы совершения преступлений. Схемы действий преступников в зависимости от специфики объекта преступления.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признаков преступлений и тактика проверочных действий. Розыск преступников по «горячим» следам. Распознавание инсценировок краж, грабежей и разбоев.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Возбуждение уголовного дела и типичные следственные ситуации. Выдвижение и разработка версий в различных ситуациях. Планирование расследования.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Особенности тактики отдельных следственных действий. Взаимодействие участников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9322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7934C9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14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на транспорте (ж/д, авиа, речном)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Специфика объекта преступного посягательства. Обстановка и способы совершения преступления. Характеристика субъектов преступной деятельности.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Тактика первоначальных проверочных действий. Анализ исходной информации и типовые версии. Планирование проверки версий. Тактика отдельных следственных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01B03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15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несовершеннолетних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Виды преступлений, совершаемые несовершеннолетними. Уголовно-процессуальные особенности расследования. Возбуждение уголовного дела в отношении несовершеннолетнего. Предмет доказывания. Специфические меры пресечения. Особенности проведения осмотра места происшествия, обыска и допроса.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Использование помощи специалистов при производстве следственных действий, в подготовке </w:t>
            </w: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и назначении экспертиз.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6B06F4">
        <w:trPr>
          <w:trHeight w:val="46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16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преступлений, совершенных организованными преступными группами и сообществами</w:t>
            </w:r>
            <w:r w:rsidRPr="003039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>Истоки и развитие организованной преступности в России. Криминалистическая характеристика организованной преступной деятельности. Виды организованных преступных групп. Типичные следственные ситуации к моменту возбуждения уголовного дела. Общие методические требования, принципы организации и управления расследованием, тактические особенности проведения следственны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927E6B">
        <w:trPr>
          <w:trHeight w:val="94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17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прошлых лет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расследования преступлений прошлых лет. Факторы времени и осведомленности. Выявление ошибок расследования. Уголовно-процессуальные ошибки. </w:t>
            </w:r>
            <w:proofErr w:type="spellStart"/>
            <w:r w:rsidRPr="00B0272E">
              <w:rPr>
                <w:rFonts w:ascii="Times New Roman" w:hAnsi="Times New Roman"/>
                <w:sz w:val="20"/>
                <w:szCs w:val="20"/>
              </w:rPr>
              <w:t>Версионные</w:t>
            </w:r>
            <w:proofErr w:type="spellEnd"/>
            <w:r w:rsidRPr="00B0272E">
              <w:rPr>
                <w:rFonts w:ascii="Times New Roman" w:hAnsi="Times New Roman"/>
                <w:sz w:val="20"/>
                <w:szCs w:val="20"/>
              </w:rPr>
              <w:t xml:space="preserve"> ошибки. Ошибки доказывания. Метод сравнительного криминалистического анализа. Характеристика следственных действий. Устранение ошибок.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Pr="003D5F06" w:rsidRDefault="00B12357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используются: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 аудитории</w:t>
      </w:r>
      <w:proofErr w:type="gramEnd"/>
      <w:r>
        <w:rPr>
          <w:rFonts w:ascii="Times New Roman" w:hAnsi="Times New Roman"/>
          <w:sz w:val="28"/>
          <w:szCs w:val="28"/>
        </w:rPr>
        <w:t>, оборудованные компьютерной техникой и посадочными местами для студентов и преподавателя;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доска;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наглядный материал (таблицы, схемы, кластеры и т.д.);</w:t>
      </w:r>
    </w:p>
    <w:p w:rsidR="00F00B32" w:rsidRPr="00F00B32" w:rsidRDefault="00F00B32" w:rsidP="00F00B32">
      <w:pPr>
        <w:pStyle w:val="ac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оборудованный криминалистический полигон.</w:t>
      </w:r>
    </w:p>
    <w:p w:rsidR="00F00B32" w:rsidRPr="00F00B32" w:rsidRDefault="00F00B32" w:rsidP="00F00B32">
      <w:pPr>
        <w:pStyle w:val="ac"/>
        <w:ind w:left="1070"/>
        <w:jc w:val="both"/>
        <w:rPr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sz w:val="28"/>
          <w:szCs w:val="28"/>
        </w:rPr>
        <w:t>компьютерное обеспечение, которое позволяет студентам выполнять тестовые задания в электронном виде, составлять и изучать презентации и схемы по курсу.</w:t>
      </w:r>
    </w:p>
    <w:p w:rsidR="008777C8" w:rsidRDefault="008777C8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53E9E">
      <w:pPr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53E9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53E9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377" w:rsidRPr="000B5377" w:rsidRDefault="000B5377" w:rsidP="000B5377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B5377"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Нормативно-правовые акты.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1. Конституция Российской Федерации.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2. Уголовно-процессуальный кодекс РФ.</w:t>
      </w:r>
    </w:p>
    <w:p w:rsidR="000B5377" w:rsidRPr="000B5377" w:rsidRDefault="000B5377" w:rsidP="000B5377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«О полиции» от 7 февраля 2011 г. № 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4. Федеральный закон «Об оружии» от 13 декабря 1996 г. № 150-ФЗ.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5. Федеральный закон «Об оперативно-розыскной деятельности» от 12 ав</w:t>
      </w:r>
      <w:r w:rsidRPr="000B5377">
        <w:rPr>
          <w:rFonts w:ascii="Times New Roman" w:hAnsi="Times New Roman"/>
          <w:sz w:val="28"/>
          <w:szCs w:val="28"/>
        </w:rPr>
        <w:softHyphen/>
        <w:t xml:space="preserve">густа 1995 г. № 144-ФЗ.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6. Федеральный закон «О государственной судебно-экспертной деятельно</w:t>
      </w:r>
      <w:r w:rsidRPr="000B5377">
        <w:rPr>
          <w:rFonts w:ascii="Times New Roman" w:hAnsi="Times New Roman"/>
          <w:sz w:val="28"/>
          <w:szCs w:val="28"/>
        </w:rPr>
        <w:softHyphen/>
        <w:t xml:space="preserve">сти» от 31 мая 2001 г. № 73-ФЗ.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7. Федеральный закон «О государственной дактилоскопической регистра</w:t>
      </w:r>
      <w:r w:rsidRPr="000B5377">
        <w:rPr>
          <w:rFonts w:ascii="Times New Roman" w:hAnsi="Times New Roman"/>
          <w:sz w:val="28"/>
          <w:szCs w:val="28"/>
        </w:rPr>
        <w:softHyphen/>
        <w:t>ции в Российской Федерации» от 25 июля 1998 г. № 128-ФЗ.</w:t>
      </w:r>
    </w:p>
    <w:p w:rsidR="000B5377" w:rsidRPr="000B5377" w:rsidRDefault="000B5377" w:rsidP="000B5377">
      <w:pPr>
        <w:widowControl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8. Федеральный закон «О государственной геномной регистрации в </w:t>
      </w:r>
      <w:r w:rsidRPr="000B5377">
        <w:rPr>
          <w:rFonts w:ascii="Times New Roman" w:hAnsi="Times New Roman"/>
          <w:sz w:val="28"/>
          <w:szCs w:val="28"/>
        </w:rPr>
        <w:lastRenderedPageBreak/>
        <w:t>Российской Федерации» от 3 декабря 2008 г. № 242-ФЗ.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Федеральный закон «О противодействии коррупции» от 25 декабря 2008 г. № 273-ФЗ.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Указ Президента РФ «О мерах по противодействию коррупции» от 19 мая 2008 г. № 815.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Национальный план противодействия коррупции. Утв. Президентом РФ 31 июля 2008 г. № Пр-1568.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24 января 1995 г. № 78 «О неотложных мерах по предотвращению подделки бланков ценных бумаг, применяемых в Российской Федерации».</w:t>
      </w:r>
    </w:p>
    <w:p w:rsidR="000B5377" w:rsidRPr="000B5377" w:rsidRDefault="000B5377" w:rsidP="000B5377">
      <w:pPr>
        <w:pStyle w:val="23"/>
        <w:widowControl w:val="0"/>
        <w:numPr>
          <w:ilvl w:val="0"/>
          <w:numId w:val="12"/>
        </w:numPr>
        <w:tabs>
          <w:tab w:val="num" w:pos="0"/>
        </w:tabs>
        <w:autoSpaceDE/>
        <w:adjustRightInd/>
        <w:spacing w:after="0" w:line="240" w:lineRule="auto"/>
        <w:ind w:firstLine="680"/>
        <w:jc w:val="both"/>
        <w:rPr>
          <w:sz w:val="28"/>
          <w:szCs w:val="28"/>
        </w:rPr>
      </w:pPr>
      <w:r w:rsidRPr="000B5377">
        <w:rPr>
          <w:sz w:val="28"/>
          <w:szCs w:val="28"/>
        </w:rPr>
        <w:t>Приказ МВД России от 1 июня 1993 г. № 261 «О повышении эффектив</w:t>
      </w:r>
      <w:r w:rsidRPr="000B5377">
        <w:rPr>
          <w:sz w:val="28"/>
          <w:szCs w:val="28"/>
        </w:rPr>
        <w:softHyphen/>
        <w:t>ности экспертно-криминалистического обеспечения деятельности органов внутренних дел Российской Федерации», с изменениями.</w:t>
      </w:r>
    </w:p>
    <w:p w:rsidR="000B5377" w:rsidRPr="000B5377" w:rsidRDefault="000B5377" w:rsidP="000B5377">
      <w:pPr>
        <w:pStyle w:val="31"/>
        <w:widowControl w:val="0"/>
        <w:numPr>
          <w:ilvl w:val="0"/>
          <w:numId w:val="12"/>
        </w:num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26 марта 2008 г. № 280 «Об утверждении Положения об организации взаимодействия подразделений ОВД РФ при раскрытии и расследовании преступлений».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Style w:val="af0"/>
          <w:rFonts w:ascii="Times New Roman" w:hAnsi="Times New Roman"/>
          <w:sz w:val="28"/>
          <w:szCs w:val="28"/>
        </w:rPr>
        <w:t>Приказ МВД России от 13 марта 2003 г. № 894 «Об утверждении Инструкции о порядке приема, регистрации</w:t>
      </w:r>
      <w:r w:rsidRPr="000B5377">
        <w:rPr>
          <w:rFonts w:ascii="Times New Roman" w:hAnsi="Times New Roman"/>
          <w:sz w:val="28"/>
          <w:szCs w:val="28"/>
        </w:rPr>
        <w:t xml:space="preserve"> и разрешения в органах внутренних дел Российской Федерации сообщений о преступлениях и иной информации о правонарушениях».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29 июня 2005 г. № 511 «Вопросы организации производства судебных экспертиз в экспертно-криминалистических подразделениях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10 февраля 2006 г. № 70 «</w:t>
      </w:r>
      <w:r w:rsidRPr="000B5377">
        <w:rPr>
          <w:rFonts w:ascii="Times New Roman" w:hAnsi="Times New Roman"/>
          <w:bCs/>
          <w:sz w:val="28"/>
          <w:szCs w:val="28"/>
        </w:rPr>
        <w:t>Об организации использования экспертно-криминалистических учетов органов внутренних дел Российской Федерации при раскрытии преступлений и расследовании уголовных дел</w:t>
      </w:r>
      <w:r w:rsidRPr="000B5377">
        <w:rPr>
          <w:rFonts w:ascii="Times New Roman" w:hAnsi="Times New Roman"/>
          <w:sz w:val="28"/>
          <w:szCs w:val="28"/>
        </w:rPr>
        <w:t>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9 июля 2007 г. № 612 «Об утверждении Наставления по формированию и ведению централизованных оперативно-справочных, криминалистических и розыскных учетов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11 января 2009 г. № 7 «Об утверждении наставления по организации экспертно-криминалистической деятельности в системе МВД России».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14 января 2005 г. № 21 «Об аттестации экспертов на право самостоятельного производства судебных экспертиз и о порядке пересмотра уровня их профессиональной подготовки». 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28 октября 2006 г. № 860 «Об утверждении Наставления по организации профессиональной подготовки сотрудников органов внутренних дел Российской Федерации». 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учебник и практикум для СПО / Н. П. Яблоков. — 3-е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239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888-4132-8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В. В. Агафонов, А. Г. Филиппов. — 8-е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184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093-413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433-80870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BEC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 в </w:t>
      </w:r>
      <w:proofErr w:type="gramStart"/>
      <w:r>
        <w:rPr>
          <w:color w:val="333333"/>
          <w:sz w:val="28"/>
          <w:szCs w:val="28"/>
        </w:rPr>
        <w:t>схемах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А. А. </w:t>
      </w:r>
      <w:proofErr w:type="spellStart"/>
      <w:r>
        <w:rPr>
          <w:color w:val="333333"/>
          <w:sz w:val="28"/>
          <w:szCs w:val="28"/>
        </w:rPr>
        <w:t>Эксархопуло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31091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-3192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 [и др.] ; под ред. И. В. Александрова.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/78542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6-427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-9635581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DDD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Криминалистика. </w:t>
      </w: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Е. М. </w:t>
      </w:r>
      <w:proofErr w:type="spellStart"/>
      <w:r>
        <w:rPr>
          <w:color w:val="333333"/>
          <w:sz w:val="28"/>
          <w:szCs w:val="28"/>
        </w:rPr>
        <w:t>Толстолужинская</w:t>
      </w:r>
      <w:proofErr w:type="spellEnd"/>
      <w:r>
        <w:rPr>
          <w:color w:val="333333"/>
          <w:sz w:val="28"/>
          <w:szCs w:val="28"/>
        </w:rPr>
        <w:t xml:space="preserve">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123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2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5869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-077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jc w:val="both"/>
        <w:rPr>
          <w:sz w:val="28"/>
          <w:szCs w:val="28"/>
        </w:rPr>
      </w:pPr>
    </w:p>
    <w:p w:rsidR="00D91683" w:rsidRPr="00D91683" w:rsidRDefault="00D91683" w:rsidP="00D91683">
      <w:pPr>
        <w:pStyle w:val="2"/>
        <w:ind w:firstLine="709"/>
        <w:jc w:val="left"/>
        <w:rPr>
          <w:i w:val="0"/>
        </w:rPr>
      </w:pPr>
      <w:bookmarkStart w:id="1" w:name="_Toc24046686"/>
      <w:bookmarkStart w:id="2" w:name="_Toc24201988"/>
      <w:r w:rsidRPr="00D91683">
        <w:rPr>
          <w:i w:val="0"/>
        </w:rPr>
        <w:t>Рекомендуемая литература (дополнительная).</w:t>
      </w:r>
      <w:bookmarkEnd w:id="1"/>
      <w:bookmarkEnd w:id="2"/>
    </w:p>
    <w:p w:rsidR="00D91683" w:rsidRPr="00D91683" w:rsidRDefault="00D91683" w:rsidP="00D91683"/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Криминалистика: тактика и методика. </w:t>
      </w:r>
      <w:proofErr w:type="gramStart"/>
      <w:r>
        <w:rPr>
          <w:color w:val="333333"/>
          <w:sz w:val="28"/>
          <w:szCs w:val="28"/>
        </w:rPr>
        <w:t>Задачник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3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63-31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3774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Криминалистическая методика для </w:t>
      </w:r>
      <w:proofErr w:type="gramStart"/>
      <w:r>
        <w:rPr>
          <w:color w:val="333333"/>
          <w:sz w:val="28"/>
          <w:szCs w:val="28"/>
        </w:rPr>
        <w:t>дознавателей :</w:t>
      </w:r>
      <w:proofErr w:type="gramEnd"/>
      <w:r>
        <w:rPr>
          <w:color w:val="333333"/>
          <w:sz w:val="28"/>
          <w:szCs w:val="28"/>
        </w:rPr>
        <w:t xml:space="preserve"> учебник для СПО / А. Г. Филиппов ; под общ. ред. А. Г. Филиппова.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/49026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53-881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Осмотр места происшествия при обнаружении </w:t>
      </w:r>
      <w:proofErr w:type="gramStart"/>
      <w:r>
        <w:rPr>
          <w:color w:val="333333"/>
          <w:sz w:val="28"/>
          <w:szCs w:val="28"/>
        </w:rPr>
        <w:t>трупа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П. М. Николаев, В. А. Спиридонов, И. Г. </w:t>
      </w:r>
      <w:proofErr w:type="spellStart"/>
      <w:r>
        <w:rPr>
          <w:color w:val="333333"/>
          <w:sz w:val="28"/>
          <w:szCs w:val="28"/>
        </w:rPr>
        <w:t>Масаллимов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94490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24-45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7618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DDFDB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Default="00D91683" w:rsidP="00D91683">
      <w:pPr>
        <w:pStyle w:val="a4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tabs>
          <w:tab w:val="left" w:pos="3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867" w:rsidRDefault="001F286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8"/>
          <w:szCs w:val="28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33B96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72" w:rsidRDefault="00A33B96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Умения: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У1 - </w:t>
            </w:r>
            <w:r w:rsidR="00820172" w:rsidRPr="00820172">
              <w:rPr>
                <w:rFonts w:ascii="Times New Roman" w:hAnsi="Times New Roman"/>
              </w:rPr>
              <w:t xml:space="preserve"> обнаруживать и процессуальным образом фиксировать следы-признаки механизмов преступной деятельности;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У2 - </w:t>
            </w:r>
            <w:r w:rsidR="00820172" w:rsidRPr="00820172">
              <w:rPr>
                <w:rFonts w:ascii="Times New Roman" w:hAnsi="Times New Roman"/>
              </w:rPr>
              <w:t xml:space="preserve"> анализировать и проверять исходную и последующую доказательственную информацию;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У3 - </w:t>
            </w:r>
            <w:r w:rsidR="00820172" w:rsidRPr="00820172">
              <w:rPr>
                <w:rFonts w:ascii="Times New Roman" w:hAnsi="Times New Roman"/>
              </w:rPr>
              <w:t>выдвигать и разрабатывать версии в процессе работы по уголовным делам различной категории.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У4 - </w:t>
            </w:r>
            <w:r w:rsidR="00820172" w:rsidRPr="00820172">
              <w:rPr>
                <w:rFonts w:ascii="Times New Roman" w:hAnsi="Times New Roman"/>
              </w:rPr>
              <w:t xml:space="preserve"> планировать процесс предварительного расследования в процессе работы по уголовным делам различной категории;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У5 - </w:t>
            </w:r>
            <w:r w:rsidR="00820172" w:rsidRPr="00820172">
              <w:rPr>
                <w:rFonts w:ascii="Times New Roman" w:hAnsi="Times New Roman"/>
              </w:rPr>
              <w:t xml:space="preserve">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      </w:r>
          </w:p>
          <w:p w:rsidR="00A33B96" w:rsidRPr="00820172" w:rsidRDefault="00D94C14" w:rsidP="00D94C14">
            <w:pPr>
              <w:pStyle w:val="ae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У6 - </w:t>
            </w:r>
            <w:r w:rsidR="00820172" w:rsidRPr="00820172">
              <w:rPr>
                <w:rFonts w:ascii="Times New Roman" w:hAnsi="Times New Roman"/>
              </w:rPr>
              <w:t>взаимодействовать с различными службами и подразделениями в рамках проводимого расследования.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тестирование, 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ситуационных задач; </w:t>
            </w:r>
          </w:p>
          <w:p w:rsidR="007B1A40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ПКЗ.</w:t>
            </w:r>
          </w:p>
          <w:p w:rsidR="00A33B96" w:rsidRDefault="00A33B96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1A40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172" w:rsidRDefault="007B1A40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Знания: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З1 - </w:t>
            </w:r>
            <w:r w:rsidR="00820172" w:rsidRPr="00820172">
              <w:rPr>
                <w:rFonts w:ascii="Times New Roman" w:hAnsi="Times New Roman"/>
              </w:rPr>
              <w:t xml:space="preserve">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З2 - </w:t>
            </w:r>
            <w:r w:rsidR="00820172" w:rsidRPr="00820172">
              <w:rPr>
                <w:rFonts w:ascii="Times New Roman" w:hAnsi="Times New Roman"/>
              </w:rPr>
              <w:t xml:space="preserve"> особенности механизма </w:t>
            </w:r>
            <w:proofErr w:type="spellStart"/>
            <w:r w:rsidR="00820172" w:rsidRPr="00820172">
              <w:rPr>
                <w:rFonts w:ascii="Times New Roman" w:hAnsi="Times New Roman"/>
              </w:rPr>
              <w:t>следообразования</w:t>
            </w:r>
            <w:proofErr w:type="spellEnd"/>
            <w:r w:rsidR="00820172" w:rsidRPr="00820172">
              <w:rPr>
                <w:rFonts w:ascii="Times New Roman" w:hAnsi="Times New Roman"/>
              </w:rPr>
              <w:t xml:space="preserve"> в </w:t>
            </w:r>
            <w:proofErr w:type="gramStart"/>
            <w:r w:rsidR="00820172" w:rsidRPr="00820172">
              <w:rPr>
                <w:rFonts w:ascii="Times New Roman" w:hAnsi="Times New Roman"/>
              </w:rPr>
              <w:t>процессе  реализации</w:t>
            </w:r>
            <w:proofErr w:type="gramEnd"/>
            <w:r w:rsidR="00820172" w:rsidRPr="00820172">
              <w:rPr>
                <w:rFonts w:ascii="Times New Roman" w:hAnsi="Times New Roman"/>
              </w:rPr>
              <w:t xml:space="preserve"> субъектами преступной деятельности различных криминальных технологий;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З3 - </w:t>
            </w:r>
            <w:r w:rsidR="00820172" w:rsidRPr="00820172">
              <w:rPr>
                <w:rFonts w:ascii="Times New Roman" w:hAnsi="Times New Roman"/>
              </w:rPr>
              <w:t xml:space="preserve">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З4 -</w:t>
            </w:r>
            <w:r w:rsidR="00820172" w:rsidRPr="00820172">
              <w:rPr>
                <w:rFonts w:ascii="Times New Roman" w:hAnsi="Times New Roman"/>
              </w:rPr>
              <w:t xml:space="preserve">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З5 - </w:t>
            </w:r>
            <w:r w:rsidR="00820172" w:rsidRPr="00820172">
              <w:rPr>
                <w:rFonts w:ascii="Times New Roman" w:hAnsi="Times New Roman"/>
              </w:rPr>
              <w:t xml:space="preserve">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      </w:r>
          </w:p>
          <w:p w:rsidR="007B1A40" w:rsidRPr="00820172" w:rsidRDefault="00D94C14" w:rsidP="0082017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З6 - </w:t>
            </w:r>
            <w:r w:rsidR="00820172" w:rsidRPr="00820172">
              <w:rPr>
                <w:rFonts w:ascii="Times New Roman" w:hAnsi="Times New Roman"/>
              </w:rPr>
              <w:t>тактические приемы собирания, проверки, оценки и представления доказательств на стадии досудебного производства.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Устный,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письменный опрос,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выступление с сообщениями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(докладами) </w:t>
            </w:r>
          </w:p>
          <w:p w:rsidR="007B1A40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практических занятиях. </w:t>
            </w:r>
          </w:p>
        </w:tc>
      </w:tr>
    </w:tbl>
    <w:p w:rsidR="00602C77" w:rsidRDefault="00602C77" w:rsidP="009C1D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E2AD9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CF2ECE" w:rsidRDefault="00CF2ECE" w:rsidP="00CF2ECE">
      <w:pPr>
        <w:pStyle w:val="p1"/>
        <w:shd w:val="clear" w:color="auto" w:fill="FFFFFF"/>
        <w:spacing w:before="193" w:beforeAutospacing="0"/>
        <w:ind w:left="10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ПЕРЕЧЕНЬ ВОПРОСОВ ДЛЯ СДАЧИ ЭКЗАМЕНА ПО КРИМИНАЛИСТИКЕ</w:t>
      </w:r>
    </w:p>
    <w:p w:rsidR="00CF2ECE" w:rsidRPr="00260E97" w:rsidRDefault="00CF2ECE" w:rsidP="00260E97">
      <w:pPr>
        <w:pStyle w:val="p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1. </w:t>
      </w:r>
      <w:r w:rsidR="002235D9" w:rsidRPr="00260E97">
        <w:rPr>
          <w:sz w:val="28"/>
          <w:szCs w:val="28"/>
        </w:rPr>
        <w:t xml:space="preserve">Понятие объекта и предмета криминалистики.  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2. Криминалистика в системе юридических наук.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3. </w:t>
      </w:r>
      <w:r w:rsidR="002235D9" w:rsidRPr="00260E97">
        <w:rPr>
          <w:color w:val="000000"/>
          <w:sz w:val="28"/>
          <w:szCs w:val="28"/>
        </w:rPr>
        <w:t>Система и методы криминалистики.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4. Понятие, виды и формы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5. Объекты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6. Понятие и классификация идентификационных признаков.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</w:t>
      </w:r>
      <w:r w:rsidR="00CF2ECE" w:rsidRPr="00260E97">
        <w:rPr>
          <w:color w:val="000000"/>
          <w:sz w:val="28"/>
          <w:szCs w:val="28"/>
        </w:rPr>
        <w:t>. Понятие криминалистической фотографии и ее значение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</w:t>
      </w:r>
      <w:r w:rsidR="00CF2ECE" w:rsidRPr="00260E97">
        <w:rPr>
          <w:color w:val="000000"/>
          <w:sz w:val="28"/>
          <w:szCs w:val="28"/>
        </w:rPr>
        <w:t>. Виды и методы криминалистической фотографии.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9</w:t>
      </w:r>
      <w:r w:rsidR="00CF2ECE" w:rsidRPr="00260E97">
        <w:rPr>
          <w:color w:val="000000"/>
          <w:sz w:val="28"/>
          <w:szCs w:val="28"/>
        </w:rPr>
        <w:t>. Предмет, задачи и система трасологии.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10</w:t>
      </w:r>
      <w:r w:rsidR="00CF2ECE" w:rsidRPr="00260E97">
        <w:rPr>
          <w:color w:val="000000"/>
          <w:sz w:val="28"/>
          <w:szCs w:val="28"/>
        </w:rPr>
        <w:t>. Классификация следов в трасологии.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11</w:t>
      </w:r>
      <w:r w:rsidR="00CF2ECE" w:rsidRPr="00260E97">
        <w:rPr>
          <w:color w:val="000000"/>
          <w:sz w:val="28"/>
          <w:szCs w:val="28"/>
        </w:rPr>
        <w:t>. Общие положения обнаружения, фиксации и изъятия следов.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12</w:t>
      </w:r>
      <w:r w:rsidR="00CF2ECE" w:rsidRPr="00260E97">
        <w:rPr>
          <w:color w:val="000000"/>
          <w:sz w:val="28"/>
          <w:szCs w:val="28"/>
        </w:rPr>
        <w:t>. Следы рук. Свойства и классификация папиллярных узоров.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13</w:t>
      </w:r>
      <w:r w:rsidR="00CF2ECE" w:rsidRPr="00260E97">
        <w:rPr>
          <w:color w:val="000000"/>
          <w:sz w:val="28"/>
          <w:szCs w:val="28"/>
        </w:rPr>
        <w:t>. Способы обнаружения, фиксации и изъятия следов рук.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14</w:t>
      </w:r>
      <w:r w:rsidR="00CF2ECE" w:rsidRPr="00260E97">
        <w:rPr>
          <w:color w:val="000000"/>
          <w:sz w:val="28"/>
          <w:szCs w:val="28"/>
        </w:rPr>
        <w:t>. Криминалистическое значение и использование результатов ДНК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15</w:t>
      </w:r>
      <w:r w:rsidR="00CF2ECE" w:rsidRPr="00260E97">
        <w:rPr>
          <w:color w:val="000000"/>
          <w:sz w:val="28"/>
          <w:szCs w:val="28"/>
        </w:rPr>
        <w:t>. Следы транспортных средств, их виды и криминалистическое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16</w:t>
      </w:r>
      <w:r w:rsidR="00CF2ECE" w:rsidRPr="00260E97">
        <w:rPr>
          <w:color w:val="000000"/>
          <w:sz w:val="28"/>
          <w:szCs w:val="28"/>
        </w:rPr>
        <w:t>. Виды следов орудий взлома, способы их обнаружения, фиксации и изъятия.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17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орудий взлома и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18</w:t>
      </w:r>
      <w:r w:rsidR="00CF2ECE" w:rsidRPr="00260E97">
        <w:rPr>
          <w:color w:val="000000"/>
          <w:sz w:val="28"/>
          <w:szCs w:val="28"/>
        </w:rPr>
        <w:t xml:space="preserve">. Подготовка материалов для назначения </w:t>
      </w:r>
      <w:proofErr w:type="spellStart"/>
      <w:r w:rsidR="00CF2ECE" w:rsidRPr="00260E97">
        <w:rPr>
          <w:color w:val="000000"/>
          <w:sz w:val="28"/>
          <w:szCs w:val="28"/>
        </w:rPr>
        <w:t>трасологической</w:t>
      </w:r>
      <w:proofErr w:type="spellEnd"/>
      <w:r w:rsidR="00CF2ECE" w:rsidRPr="00260E97">
        <w:rPr>
          <w:color w:val="000000"/>
          <w:sz w:val="28"/>
          <w:szCs w:val="28"/>
        </w:rPr>
        <w:t xml:space="preserve"> экспертизы.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19</w:t>
      </w:r>
      <w:r w:rsidR="00CF2ECE" w:rsidRPr="00260E97">
        <w:rPr>
          <w:color w:val="000000"/>
          <w:sz w:val="28"/>
          <w:szCs w:val="28"/>
        </w:rPr>
        <w:t>. Запаховые следы. Способы их обнаружения, изъятия и консервации.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20</w:t>
      </w:r>
      <w:r w:rsidR="00CF2ECE" w:rsidRPr="00260E97">
        <w:rPr>
          <w:color w:val="000000"/>
          <w:sz w:val="28"/>
          <w:szCs w:val="28"/>
        </w:rPr>
        <w:t>.</w:t>
      </w:r>
      <w:r w:rsidR="00260E97"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Предмет криминалистической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>. Ее естествен​</w:t>
      </w:r>
      <w:proofErr w:type="spellStart"/>
      <w:r w:rsidR="00CF2ECE" w:rsidRPr="00260E97">
        <w:rPr>
          <w:color w:val="000000"/>
          <w:sz w:val="28"/>
          <w:szCs w:val="28"/>
        </w:rPr>
        <w:t>нонаучные</w:t>
      </w:r>
      <w:proofErr w:type="spellEnd"/>
      <w:r w:rsidR="00CF2ECE" w:rsidRPr="00260E97">
        <w:rPr>
          <w:color w:val="000000"/>
          <w:sz w:val="28"/>
          <w:szCs w:val="28"/>
        </w:rPr>
        <w:t xml:space="preserve"> основы.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21</w:t>
      </w:r>
      <w:r w:rsidR="00CF2ECE" w:rsidRPr="00260E97">
        <w:rPr>
          <w:color w:val="000000"/>
          <w:sz w:val="28"/>
          <w:szCs w:val="28"/>
        </w:rPr>
        <w:t>. Признаки внешности человека, их свойства и классификация.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22</w:t>
      </w:r>
      <w:r w:rsidR="00CF2ECE" w:rsidRPr="00260E97">
        <w:rPr>
          <w:color w:val="000000"/>
          <w:sz w:val="28"/>
          <w:szCs w:val="28"/>
        </w:rPr>
        <w:t>. Правила описания человека по методу словесного портрета.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23</w:t>
      </w:r>
      <w:r w:rsidR="00CF2ECE" w:rsidRPr="00260E97">
        <w:rPr>
          <w:color w:val="000000"/>
          <w:sz w:val="28"/>
          <w:szCs w:val="28"/>
        </w:rPr>
        <w:t xml:space="preserve">.Использование средств и методов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 xml:space="preserve"> в розыске преступника,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24</w:t>
      </w:r>
      <w:r w:rsidR="00CF2ECE" w:rsidRPr="00260E97">
        <w:rPr>
          <w:color w:val="000000"/>
          <w:sz w:val="28"/>
          <w:szCs w:val="28"/>
        </w:rPr>
        <w:t>. Понятие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25</w:t>
      </w:r>
      <w:r w:rsidR="00CF2ECE" w:rsidRPr="00260E97">
        <w:rPr>
          <w:color w:val="000000"/>
          <w:sz w:val="28"/>
          <w:szCs w:val="28"/>
        </w:rPr>
        <w:t>. Классификация объектов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26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применения оружия,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27</w:t>
      </w:r>
      <w:r w:rsidR="00CF2ECE" w:rsidRPr="00260E97">
        <w:rPr>
          <w:color w:val="000000"/>
          <w:sz w:val="28"/>
          <w:szCs w:val="28"/>
        </w:rPr>
        <w:t>. Механизм производства выстрела и образования следов на пуле и гильзе.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28</w:t>
      </w:r>
      <w:r w:rsidR="00CF2ECE" w:rsidRPr="00260E97">
        <w:rPr>
          <w:color w:val="000000"/>
          <w:sz w:val="28"/>
          <w:szCs w:val="28"/>
        </w:rPr>
        <w:t>. Установление направления и дистанции выстрела, местонахождения стрелявшего.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29</w:t>
      </w:r>
      <w:r w:rsidR="00CF2ECE" w:rsidRPr="00260E97">
        <w:rPr>
          <w:color w:val="000000"/>
          <w:sz w:val="28"/>
          <w:szCs w:val="28"/>
        </w:rPr>
        <w:t>. Средства и методы обнаружения, фиксации и изъятия огнестрельного оружия и боеприпасов к нему.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30</w:t>
      </w:r>
      <w:r w:rsidR="00CF2ECE" w:rsidRPr="00260E97">
        <w:rPr>
          <w:color w:val="000000"/>
          <w:sz w:val="28"/>
          <w:szCs w:val="28"/>
        </w:rPr>
        <w:t>. Подготовка материалов для производства судебно-баллистической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31</w:t>
      </w:r>
      <w:r w:rsidR="00CF2ECE" w:rsidRPr="00260E97">
        <w:rPr>
          <w:color w:val="000000"/>
          <w:sz w:val="28"/>
          <w:szCs w:val="28"/>
        </w:rPr>
        <w:t>. Понятие, классификация и криминалистическое исследование холодного оружия.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32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33</w:t>
      </w:r>
      <w:r w:rsidR="00CF2ECE" w:rsidRPr="00260E97">
        <w:rPr>
          <w:color w:val="000000"/>
          <w:sz w:val="28"/>
          <w:szCs w:val="28"/>
        </w:rPr>
        <w:t>. Понятие документа, классификация документов в криминалистике.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34</w:t>
      </w:r>
      <w:r w:rsidR="00CF2ECE" w:rsidRPr="00260E97">
        <w:rPr>
          <w:color w:val="000000"/>
          <w:sz w:val="28"/>
          <w:szCs w:val="28"/>
        </w:rPr>
        <w:t>. Общие положения следственного осмотра документов. Правила обращения с документами — вещественными доказательствами.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35</w:t>
      </w:r>
      <w:r w:rsidR="00CF2ECE" w:rsidRPr="00260E97">
        <w:rPr>
          <w:color w:val="000000"/>
          <w:sz w:val="28"/>
          <w:szCs w:val="28"/>
        </w:rPr>
        <w:t>. Понятие письма. Признаки письменной речи.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36</w:t>
      </w:r>
      <w:r w:rsidR="00CF2ECE" w:rsidRPr="00260E97">
        <w:rPr>
          <w:color w:val="000000"/>
          <w:sz w:val="28"/>
          <w:szCs w:val="28"/>
        </w:rPr>
        <w:t>.Общие и частные признаки почерка.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37</w:t>
      </w:r>
      <w:r w:rsidR="00CF2ECE" w:rsidRPr="00260E97">
        <w:rPr>
          <w:color w:val="000000"/>
          <w:sz w:val="28"/>
          <w:szCs w:val="28"/>
        </w:rPr>
        <w:t>.Подготовка материалов для производства почерковедческой экспертизы.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38</w:t>
      </w:r>
      <w:r w:rsidR="00CF2ECE" w:rsidRPr="00260E97">
        <w:rPr>
          <w:color w:val="000000"/>
          <w:sz w:val="28"/>
          <w:szCs w:val="28"/>
        </w:rPr>
        <w:t>. Понятие, виды и задачи технико-криминалистического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39</w:t>
      </w:r>
      <w:r w:rsidR="00CF2ECE" w:rsidRPr="00260E97">
        <w:rPr>
          <w:color w:val="000000"/>
          <w:sz w:val="28"/>
          <w:szCs w:val="28"/>
        </w:rPr>
        <w:t>.Установление факта изменения первоначального содержания документа.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40</w:t>
      </w:r>
      <w:r w:rsidR="00CF2ECE" w:rsidRPr="00260E97">
        <w:rPr>
          <w:color w:val="000000"/>
          <w:sz w:val="28"/>
          <w:szCs w:val="28"/>
        </w:rPr>
        <w:t>.Правила обращения со сгоревшими и разорванными документами. Вопросы, разрешаемые их исследованием.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41</w:t>
      </w:r>
      <w:r w:rsidR="00CF2ECE" w:rsidRPr="00260E97">
        <w:rPr>
          <w:color w:val="000000"/>
          <w:sz w:val="28"/>
          <w:szCs w:val="28"/>
        </w:rPr>
        <w:t>.Установление факта подделки подписи.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42</w:t>
      </w:r>
      <w:r w:rsidR="00CF2ECE" w:rsidRPr="00260E97">
        <w:rPr>
          <w:color w:val="000000"/>
          <w:sz w:val="28"/>
          <w:szCs w:val="28"/>
        </w:rPr>
        <w:t>. Способы выявления подделки оттисков печатей и штампов.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43</w:t>
      </w:r>
      <w:r w:rsidR="00CF2ECE" w:rsidRPr="00260E97">
        <w:rPr>
          <w:color w:val="000000"/>
          <w:sz w:val="28"/>
          <w:szCs w:val="28"/>
        </w:rPr>
        <w:t>.Общие и частные признаки пишущей машинки, отображающиеся в машинописном тексте.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44</w:t>
      </w:r>
      <w:r w:rsidR="00CF2ECE" w:rsidRPr="00260E97">
        <w:rPr>
          <w:color w:val="000000"/>
          <w:sz w:val="28"/>
          <w:szCs w:val="28"/>
        </w:rPr>
        <w:t>. Понятие криминалистической регистрации, ее виды и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45</w:t>
      </w:r>
      <w:r w:rsidR="00CF2ECE" w:rsidRPr="00260E97">
        <w:rPr>
          <w:color w:val="000000"/>
          <w:sz w:val="28"/>
          <w:szCs w:val="28"/>
        </w:rPr>
        <w:t>.Классификация криминалистических учетов.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46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криминалистической тактики.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47</w:t>
      </w:r>
      <w:r w:rsidR="00CF2ECE" w:rsidRPr="00260E97">
        <w:rPr>
          <w:color w:val="000000"/>
          <w:sz w:val="28"/>
          <w:szCs w:val="28"/>
        </w:rPr>
        <w:t>. Формы и цели использования специальных познаний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48</w:t>
      </w:r>
      <w:r w:rsidR="00CF2ECE" w:rsidRPr="00260E97">
        <w:rPr>
          <w:color w:val="000000"/>
          <w:sz w:val="28"/>
          <w:szCs w:val="28"/>
        </w:rPr>
        <w:t>. Криминалистическая версия: понятие и виды.</w:t>
      </w:r>
    </w:p>
    <w:p w:rsidR="00CF2ECE" w:rsidRPr="00260E97" w:rsidRDefault="00315651" w:rsidP="00260E97">
      <w:pPr>
        <w:pStyle w:val="p1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49</w:t>
      </w:r>
      <w:r w:rsidR="00CF2ECE" w:rsidRPr="00260E97">
        <w:rPr>
          <w:color w:val="000000"/>
          <w:sz w:val="28"/>
          <w:szCs w:val="28"/>
        </w:rPr>
        <w:t>. Особенности построения и проверки следственных версий.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50</w:t>
      </w:r>
      <w:r w:rsidR="00CF2ECE" w:rsidRPr="00260E97">
        <w:rPr>
          <w:color w:val="000000"/>
          <w:sz w:val="28"/>
          <w:szCs w:val="28"/>
        </w:rPr>
        <w:t>.Понятие и виды тактических приемов.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51</w:t>
      </w:r>
      <w:r w:rsidR="00CF2ECE" w:rsidRPr="00260E97">
        <w:rPr>
          <w:color w:val="000000"/>
          <w:sz w:val="28"/>
          <w:szCs w:val="28"/>
        </w:rPr>
        <w:t>.Понятие и криминалистическое значение тактической операции.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52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осмотра.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53</w:t>
      </w:r>
      <w:r w:rsidR="00CF2ECE" w:rsidRPr="00260E97">
        <w:rPr>
          <w:color w:val="000000"/>
          <w:sz w:val="28"/>
          <w:szCs w:val="28"/>
        </w:rPr>
        <w:t>. Тактические приемы и условия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54</w:t>
      </w:r>
      <w:r w:rsidR="00CF2ECE" w:rsidRPr="00260E97">
        <w:rPr>
          <w:color w:val="000000"/>
          <w:sz w:val="28"/>
          <w:szCs w:val="28"/>
        </w:rPr>
        <w:t>. Фиксация хода и результатов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55</w:t>
      </w:r>
      <w:r w:rsidR="00CF2ECE" w:rsidRPr="00260E97">
        <w:rPr>
          <w:color w:val="000000"/>
          <w:sz w:val="28"/>
          <w:szCs w:val="28"/>
        </w:rPr>
        <w:t>. Тактика освидетельствования.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56</w:t>
      </w:r>
      <w:r w:rsidR="00CF2ECE" w:rsidRPr="00260E97">
        <w:rPr>
          <w:color w:val="000000"/>
          <w:sz w:val="28"/>
          <w:szCs w:val="28"/>
        </w:rPr>
        <w:t>. Понятие, виды и задачи обыска и выемки.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57</w:t>
      </w:r>
      <w:r w:rsidR="00CF2ECE" w:rsidRPr="00260E97">
        <w:rPr>
          <w:color w:val="000000"/>
          <w:sz w:val="28"/>
          <w:szCs w:val="28"/>
        </w:rPr>
        <w:t>. Подготовка к производству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58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59</w:t>
      </w:r>
      <w:r w:rsidR="00CF2ECE" w:rsidRPr="00260E97">
        <w:rPr>
          <w:color w:val="000000"/>
          <w:sz w:val="28"/>
          <w:szCs w:val="28"/>
        </w:rPr>
        <w:t>. Понятие, виды и задачи допроса.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60</w:t>
      </w:r>
      <w:r w:rsidR="00CF2ECE" w:rsidRPr="00260E97">
        <w:rPr>
          <w:color w:val="000000"/>
          <w:sz w:val="28"/>
          <w:szCs w:val="28"/>
        </w:rPr>
        <w:t>. Подготовка к допросу.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61</w:t>
      </w:r>
      <w:r w:rsidR="00CF2ECE" w:rsidRPr="00260E97">
        <w:rPr>
          <w:color w:val="000000"/>
          <w:sz w:val="28"/>
          <w:szCs w:val="28"/>
        </w:rPr>
        <w:t>. Тактика допроса в 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62</w:t>
      </w:r>
      <w:r w:rsidR="00CF2ECE" w:rsidRPr="00260E97">
        <w:rPr>
          <w:color w:val="000000"/>
          <w:sz w:val="28"/>
          <w:szCs w:val="28"/>
        </w:rPr>
        <w:t>. Тактические приемы допроса в бесконфликтной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63</w:t>
      </w:r>
      <w:r w:rsidR="00CF2ECE" w:rsidRPr="00260E97">
        <w:rPr>
          <w:color w:val="000000"/>
          <w:sz w:val="28"/>
          <w:szCs w:val="28"/>
        </w:rPr>
        <w:t>. Тактика очной ставки.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64</w:t>
      </w:r>
      <w:r w:rsidR="00CF2ECE" w:rsidRPr="00260E97">
        <w:rPr>
          <w:color w:val="000000"/>
          <w:sz w:val="28"/>
          <w:szCs w:val="28"/>
        </w:rPr>
        <w:t>. Понятие, виды и задачи предъявления для опознания.</w:t>
      </w:r>
    </w:p>
    <w:p w:rsidR="00CF2ECE" w:rsidRPr="00260E97" w:rsidRDefault="00315651" w:rsidP="00260E97">
      <w:pPr>
        <w:pStyle w:val="p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65</w:t>
      </w:r>
      <w:r w:rsidR="00CF2ECE" w:rsidRPr="00260E97">
        <w:rPr>
          <w:color w:val="000000"/>
          <w:sz w:val="28"/>
          <w:szCs w:val="28"/>
        </w:rPr>
        <w:t>. Тактика предъявления для опознания живых лиц.</w:t>
      </w:r>
      <w:r w:rsidR="00CF2ECE" w:rsidRPr="00260E97">
        <w:rPr>
          <w:color w:val="000000"/>
          <w:sz w:val="28"/>
          <w:szCs w:val="28"/>
        </w:rPr>
        <w:br/>
      </w:r>
      <w:r w:rsidRPr="00260E97">
        <w:rPr>
          <w:color w:val="000000"/>
          <w:sz w:val="28"/>
          <w:szCs w:val="28"/>
        </w:rPr>
        <w:t>66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трупа.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67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предметов, животных и транспортных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68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69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70</w:t>
      </w:r>
      <w:r w:rsidR="00CF2ECE" w:rsidRPr="00260E97">
        <w:rPr>
          <w:color w:val="000000"/>
          <w:sz w:val="28"/>
          <w:szCs w:val="28"/>
        </w:rPr>
        <w:t>. Понятие и задачи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71</w:t>
      </w:r>
      <w:r w:rsidR="00CF2ECE" w:rsidRPr="00260E97">
        <w:rPr>
          <w:color w:val="000000"/>
          <w:sz w:val="28"/>
          <w:szCs w:val="28"/>
        </w:rPr>
        <w:t>.Тактические приемы и условия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72</w:t>
      </w:r>
      <w:r w:rsidR="00CF2ECE" w:rsidRPr="00260E97">
        <w:rPr>
          <w:color w:val="000000"/>
          <w:sz w:val="28"/>
          <w:szCs w:val="28"/>
        </w:rPr>
        <w:t>. Понятие, задачи и система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73</w:t>
      </w:r>
      <w:r w:rsidR="00CF2ECE" w:rsidRPr="00260E97">
        <w:rPr>
          <w:color w:val="000000"/>
          <w:sz w:val="28"/>
          <w:szCs w:val="28"/>
        </w:rPr>
        <w:t>. Структура типовой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74</w:t>
      </w:r>
      <w:r w:rsidR="00CF2ECE" w:rsidRPr="00260E97">
        <w:rPr>
          <w:color w:val="000000"/>
          <w:sz w:val="28"/>
          <w:szCs w:val="28"/>
        </w:rPr>
        <w:t>. Понятие, сущность и значение криминалистической характеристики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75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убийств.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77</w:t>
      </w:r>
      <w:r w:rsidR="00CF2ECE" w:rsidRPr="00260E97">
        <w:rPr>
          <w:color w:val="000000"/>
          <w:sz w:val="28"/>
          <w:szCs w:val="28"/>
        </w:rPr>
        <w:t>. Первоначальный и последующий этапы расследования краж чужого имущества.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78</w:t>
      </w:r>
      <w:r w:rsidR="00CF2ECE" w:rsidRPr="00260E97">
        <w:rPr>
          <w:color w:val="000000"/>
          <w:sz w:val="28"/>
          <w:szCs w:val="28"/>
        </w:rPr>
        <w:t>. Расследование грабежей и разбойных нападений.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79</w:t>
      </w:r>
      <w:r w:rsidR="00CF2ECE" w:rsidRPr="00260E97">
        <w:rPr>
          <w:color w:val="000000"/>
          <w:sz w:val="28"/>
          <w:szCs w:val="28"/>
        </w:rPr>
        <w:t>. Расследование преступлений, связанных с незаконным оборотом наркотических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80</w:t>
      </w:r>
      <w:r w:rsidR="00CF2ECE" w:rsidRPr="00260E97">
        <w:rPr>
          <w:color w:val="000000"/>
          <w:sz w:val="28"/>
          <w:szCs w:val="28"/>
        </w:rPr>
        <w:t>.Криминалистическая характеристика вымогательства.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81</w:t>
      </w:r>
      <w:r w:rsidR="00CF2ECE" w:rsidRPr="00260E97">
        <w:rPr>
          <w:color w:val="000000"/>
          <w:sz w:val="28"/>
          <w:szCs w:val="28"/>
        </w:rPr>
        <w:t>.Расследование мошенничества.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82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дорожно-транспортных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83</w:t>
      </w:r>
      <w:r w:rsidR="00CF2ECE" w:rsidRPr="00260E97">
        <w:rPr>
          <w:color w:val="000000"/>
          <w:sz w:val="28"/>
          <w:szCs w:val="28"/>
        </w:rPr>
        <w:t>. Расследование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84</w:t>
      </w:r>
      <w:r w:rsidR="00CF2ECE" w:rsidRPr="00260E97">
        <w:rPr>
          <w:color w:val="000000"/>
          <w:sz w:val="28"/>
          <w:szCs w:val="28"/>
        </w:rPr>
        <w:t>. Типичные экспертизы, назначаемые при расследовании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85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>Понятие и криминалистическая характеристика преступлений несовершеннолетних. Обстоятельства, подлежащие установлению.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86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Расследования </w:t>
      </w:r>
      <w:proofErr w:type="gramStart"/>
      <w:r w:rsidR="00CF2ECE" w:rsidRPr="00260E97">
        <w:rPr>
          <w:color w:val="000000"/>
          <w:sz w:val="28"/>
          <w:szCs w:val="28"/>
        </w:rPr>
        <w:t>преступлений</w:t>
      </w:r>
      <w:proofErr w:type="gramEnd"/>
      <w:r w:rsidR="00CF2ECE" w:rsidRPr="00260E97">
        <w:rPr>
          <w:color w:val="000000"/>
          <w:sz w:val="28"/>
          <w:szCs w:val="28"/>
        </w:rPr>
        <w:t xml:space="preserve"> совершенных несовершеннолетними.</w:t>
      </w:r>
    </w:p>
    <w:p w:rsidR="00CF2ECE" w:rsidRPr="00260E97" w:rsidRDefault="00315651" w:rsidP="00260E97">
      <w:pPr>
        <w:pStyle w:val="p1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87</w:t>
      </w:r>
      <w:r w:rsidR="00CF2ECE" w:rsidRPr="00260E97">
        <w:rPr>
          <w:color w:val="000000"/>
          <w:sz w:val="28"/>
          <w:szCs w:val="28"/>
        </w:rPr>
        <w:t>. Расследование преступлений, совершенных участниками организованных преступных групп.</w:t>
      </w: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BE" w:rsidRDefault="006242BE" w:rsidP="00602C77">
      <w:pPr>
        <w:spacing w:after="0" w:line="240" w:lineRule="auto"/>
      </w:pPr>
      <w:r>
        <w:separator/>
      </w:r>
    </w:p>
  </w:endnote>
  <w:endnote w:type="continuationSeparator" w:id="0">
    <w:p w:rsidR="006242BE" w:rsidRDefault="006242B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D264B0" w:rsidRDefault="00D264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8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264B0" w:rsidRDefault="00D264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BE" w:rsidRDefault="006242BE" w:rsidP="00602C77">
      <w:pPr>
        <w:spacing w:after="0" w:line="240" w:lineRule="auto"/>
      </w:pPr>
      <w:r>
        <w:separator/>
      </w:r>
    </w:p>
  </w:footnote>
  <w:footnote w:type="continuationSeparator" w:id="0">
    <w:p w:rsidR="006242BE" w:rsidRDefault="006242B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711"/>
    <w:multiLevelType w:val="singleLevel"/>
    <w:tmpl w:val="E666574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2695D"/>
    <w:multiLevelType w:val="singleLevel"/>
    <w:tmpl w:val="7A8243E0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E7417E2"/>
    <w:multiLevelType w:val="hybridMultilevel"/>
    <w:tmpl w:val="CDAE0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61BA4"/>
    <w:multiLevelType w:val="hybridMultilevel"/>
    <w:tmpl w:val="55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83EED"/>
    <w:multiLevelType w:val="hybridMultilevel"/>
    <w:tmpl w:val="B15CA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66E7404"/>
    <w:multiLevelType w:val="singleLevel"/>
    <w:tmpl w:val="7A8243E0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1F3694A"/>
    <w:multiLevelType w:val="singleLevel"/>
    <w:tmpl w:val="7A8243E0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054B4"/>
    <w:multiLevelType w:val="singleLevel"/>
    <w:tmpl w:val="7A8243E0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4C16EB2"/>
    <w:multiLevelType w:val="hybridMultilevel"/>
    <w:tmpl w:val="BFEA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7825CAA"/>
    <w:multiLevelType w:val="multilevel"/>
    <w:tmpl w:val="8DA8F2F4"/>
    <w:lvl w:ilvl="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BCC"/>
    <w:multiLevelType w:val="hybridMultilevel"/>
    <w:tmpl w:val="7070F096"/>
    <w:lvl w:ilvl="0" w:tplc="E666574C">
      <w:start w:val="1"/>
      <w:numFmt w:val="decimal"/>
      <w:lvlText w:val="%1."/>
      <w:legacy w:legacy="1" w:legacySpace="0" w:legacyIndent="283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9A43273"/>
    <w:multiLevelType w:val="singleLevel"/>
    <w:tmpl w:val="7A8243E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71435C0"/>
    <w:multiLevelType w:val="hybridMultilevel"/>
    <w:tmpl w:val="AC8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8461D"/>
    <w:multiLevelType w:val="hybridMultilevel"/>
    <w:tmpl w:val="0A0CAD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0A57"/>
    <w:multiLevelType w:val="hybridMultilevel"/>
    <w:tmpl w:val="C00C35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17"/>
    <w:lvlOverride w:ilvl="0">
      <w:startOverride w:val="15"/>
    </w:lvlOverride>
  </w:num>
  <w:num w:numId="14">
    <w:abstractNumId w:val="15"/>
    <w:lvlOverride w:ilvl="0">
      <w:startOverride w:val="25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0"/>
    </w:lvlOverride>
  </w:num>
  <w:num w:numId="17">
    <w:abstractNumId w:val="1"/>
    <w:lvlOverride w:ilvl="0">
      <w:startOverride w:val="23"/>
    </w:lvlOverride>
  </w:num>
  <w:num w:numId="18">
    <w:abstractNumId w:val="11"/>
    <w:lvlOverride w:ilvl="0">
      <w:startOverride w:val="27"/>
    </w:lvlOverride>
  </w:num>
  <w:num w:numId="19">
    <w:abstractNumId w:val="8"/>
    <w:lvlOverride w:ilvl="0">
      <w:startOverride w:val="30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30FE7"/>
    <w:rsid w:val="00075004"/>
    <w:rsid w:val="0008755F"/>
    <w:rsid w:val="0009275D"/>
    <w:rsid w:val="000A3E1B"/>
    <w:rsid w:val="000B5377"/>
    <w:rsid w:val="000D12DB"/>
    <w:rsid w:val="000F2DBC"/>
    <w:rsid w:val="00164FC2"/>
    <w:rsid w:val="001865F2"/>
    <w:rsid w:val="001A4D96"/>
    <w:rsid w:val="001B74E0"/>
    <w:rsid w:val="001C2079"/>
    <w:rsid w:val="001E66CC"/>
    <w:rsid w:val="001F2867"/>
    <w:rsid w:val="002235D9"/>
    <w:rsid w:val="00260E97"/>
    <w:rsid w:val="0027009A"/>
    <w:rsid w:val="002759DC"/>
    <w:rsid w:val="002801A5"/>
    <w:rsid w:val="00287DB9"/>
    <w:rsid w:val="002B2373"/>
    <w:rsid w:val="002F1A05"/>
    <w:rsid w:val="0030391D"/>
    <w:rsid w:val="00312293"/>
    <w:rsid w:val="00313431"/>
    <w:rsid w:val="00315651"/>
    <w:rsid w:val="00337E9B"/>
    <w:rsid w:val="0036637C"/>
    <w:rsid w:val="003665D9"/>
    <w:rsid w:val="003D5F06"/>
    <w:rsid w:val="00404C61"/>
    <w:rsid w:val="00422886"/>
    <w:rsid w:val="00425EDA"/>
    <w:rsid w:val="00430DF8"/>
    <w:rsid w:val="00440B01"/>
    <w:rsid w:val="0046758E"/>
    <w:rsid w:val="00471B58"/>
    <w:rsid w:val="00477AEA"/>
    <w:rsid w:val="0048684E"/>
    <w:rsid w:val="004D03D7"/>
    <w:rsid w:val="004D6A74"/>
    <w:rsid w:val="004F25FA"/>
    <w:rsid w:val="004F7F9E"/>
    <w:rsid w:val="0054537E"/>
    <w:rsid w:val="00551699"/>
    <w:rsid w:val="00563A50"/>
    <w:rsid w:val="00570A32"/>
    <w:rsid w:val="005A074A"/>
    <w:rsid w:val="005E2DB7"/>
    <w:rsid w:val="00602C77"/>
    <w:rsid w:val="006242BE"/>
    <w:rsid w:val="0064328F"/>
    <w:rsid w:val="00653E9E"/>
    <w:rsid w:val="00683642"/>
    <w:rsid w:val="00691841"/>
    <w:rsid w:val="006A6590"/>
    <w:rsid w:val="006C14CC"/>
    <w:rsid w:val="006F1F48"/>
    <w:rsid w:val="00705B09"/>
    <w:rsid w:val="0072482F"/>
    <w:rsid w:val="00727DF8"/>
    <w:rsid w:val="007559B8"/>
    <w:rsid w:val="0078299E"/>
    <w:rsid w:val="007B1A40"/>
    <w:rsid w:val="007B40C8"/>
    <w:rsid w:val="007B718B"/>
    <w:rsid w:val="007B7CB0"/>
    <w:rsid w:val="007C47C0"/>
    <w:rsid w:val="007D0B47"/>
    <w:rsid w:val="007E662A"/>
    <w:rsid w:val="007F10CE"/>
    <w:rsid w:val="00812D42"/>
    <w:rsid w:val="00820172"/>
    <w:rsid w:val="008226C9"/>
    <w:rsid w:val="00853A3E"/>
    <w:rsid w:val="008633B4"/>
    <w:rsid w:val="008777C8"/>
    <w:rsid w:val="008D3715"/>
    <w:rsid w:val="00921EFA"/>
    <w:rsid w:val="009322A5"/>
    <w:rsid w:val="00965CAE"/>
    <w:rsid w:val="009849A8"/>
    <w:rsid w:val="00991562"/>
    <w:rsid w:val="009A0A62"/>
    <w:rsid w:val="009A799D"/>
    <w:rsid w:val="009C1DEB"/>
    <w:rsid w:val="009D3B01"/>
    <w:rsid w:val="009F5251"/>
    <w:rsid w:val="00A16D60"/>
    <w:rsid w:val="00A33B96"/>
    <w:rsid w:val="00A52BF2"/>
    <w:rsid w:val="00A770A6"/>
    <w:rsid w:val="00AB33F1"/>
    <w:rsid w:val="00AB4947"/>
    <w:rsid w:val="00AE2AD9"/>
    <w:rsid w:val="00AE67D5"/>
    <w:rsid w:val="00B0272E"/>
    <w:rsid w:val="00B11A5E"/>
    <w:rsid w:val="00B12357"/>
    <w:rsid w:val="00B21461"/>
    <w:rsid w:val="00B6707F"/>
    <w:rsid w:val="00B93F53"/>
    <w:rsid w:val="00B97E98"/>
    <w:rsid w:val="00BA63C7"/>
    <w:rsid w:val="00BD4513"/>
    <w:rsid w:val="00C11336"/>
    <w:rsid w:val="00C21DC7"/>
    <w:rsid w:val="00C45F0E"/>
    <w:rsid w:val="00C721BC"/>
    <w:rsid w:val="00C865BE"/>
    <w:rsid w:val="00C8704B"/>
    <w:rsid w:val="00C9016C"/>
    <w:rsid w:val="00CA7D62"/>
    <w:rsid w:val="00CE258B"/>
    <w:rsid w:val="00CF2ECE"/>
    <w:rsid w:val="00D04CA2"/>
    <w:rsid w:val="00D264B0"/>
    <w:rsid w:val="00D40FB1"/>
    <w:rsid w:val="00D72B7D"/>
    <w:rsid w:val="00D876FC"/>
    <w:rsid w:val="00D91683"/>
    <w:rsid w:val="00D94C14"/>
    <w:rsid w:val="00E103A0"/>
    <w:rsid w:val="00E22619"/>
    <w:rsid w:val="00E35996"/>
    <w:rsid w:val="00E838C4"/>
    <w:rsid w:val="00E91D52"/>
    <w:rsid w:val="00F00B32"/>
    <w:rsid w:val="00F62A48"/>
    <w:rsid w:val="00F63A03"/>
    <w:rsid w:val="00F83BB5"/>
    <w:rsid w:val="00FA00A2"/>
    <w:rsid w:val="00F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8A39-47FC-49C4-B9E4-3368931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494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1F2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2867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1F2867"/>
    <w:rPr>
      <w:i/>
      <w:iCs/>
    </w:rPr>
  </w:style>
  <w:style w:type="character" w:customStyle="1" w:styleId="apple-converted-space">
    <w:name w:val="apple-converted-space"/>
    <w:basedOn w:val="a0"/>
    <w:rsid w:val="001F2867"/>
  </w:style>
  <w:style w:type="paragraph" w:customStyle="1" w:styleId="Default">
    <w:name w:val="Default"/>
    <w:rsid w:val="007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B494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AB49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B494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5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5377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B5377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B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unhideWhenUsed/>
    <w:rsid w:val="000B5377"/>
  </w:style>
  <w:style w:type="paragraph" w:styleId="af1">
    <w:name w:val="Plain Text"/>
    <w:basedOn w:val="a"/>
    <w:link w:val="af2"/>
    <w:semiHidden/>
    <w:unhideWhenUsed/>
    <w:rsid w:val="00C870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870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F2ECE"/>
  </w:style>
  <w:style w:type="paragraph" w:customStyle="1" w:styleId="p2">
    <w:name w:val="p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Òåêñò"/>
    <w:basedOn w:val="a"/>
    <w:rsid w:val="00F8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5">
    <w:name w:val="Îñíîâíîé òåêñò ñ îòñòóïîì 2"/>
    <w:basedOn w:val="a"/>
    <w:rsid w:val="00C21DC7"/>
    <w:pPr>
      <w:widowControl w:val="0"/>
      <w:tabs>
        <w:tab w:val="left" w:pos="8613"/>
      </w:tabs>
      <w:autoSpaceDE w:val="0"/>
      <w:autoSpaceDN w:val="0"/>
      <w:adjustRightInd w:val="0"/>
      <w:spacing w:after="0" w:line="240" w:lineRule="auto"/>
      <w:ind w:left="-3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D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List"/>
    <w:basedOn w:val="a"/>
    <w:unhideWhenUsed/>
    <w:rsid w:val="0042288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F1C5F8F-E888-4132-8D05-A585E747AA1F" TargetMode="External"/><Relationship Id="rId13" Type="http://schemas.openxmlformats.org/officeDocument/2006/relationships/hyperlink" Target="https://www.biblio-online.ru/book/C6622E63-31A0-49ED-8A2C-3DF9D4C377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19D5869B-57FF-44AA-9B3B-077AD6DBD3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8542D25-9FE6-427A-943D-9635581E2D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94490D7-AA24-45ED-A058-8E7618DDFDB2" TargetMode="External"/><Relationship Id="rId10" Type="http://schemas.openxmlformats.org/officeDocument/2006/relationships/hyperlink" Target="https://www.biblio-online.ru/book/1E31091D-AEAF-443F-953A-3192D646C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5E115F9A-D093-413A-B433-80870A276BEC" TargetMode="External"/><Relationship Id="rId14" Type="http://schemas.openxmlformats.org/officeDocument/2006/relationships/hyperlink" Target="https://www.biblio-online.ru/book/49026C53-881A-4EFD-B2AE-8966B2A8DB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F231-50F4-4428-90EC-1A22751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2017-03-28T07:37:00Z</cp:lastPrinted>
  <dcterms:created xsi:type="dcterms:W3CDTF">2018-01-11T13:17:00Z</dcterms:created>
  <dcterms:modified xsi:type="dcterms:W3CDTF">2018-04-23T13:23:00Z</dcterms:modified>
</cp:coreProperties>
</file>