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 xml:space="preserve">МИНИСТЕРСТВО НАУКИ </w:t>
      </w:r>
      <w:r w:rsidR="007A5F21">
        <w:rPr>
          <w:szCs w:val="24"/>
        </w:rPr>
        <w:t xml:space="preserve">И ВЫСШЕГО ОБРАЗОВАНИЯ </w:t>
      </w:r>
      <w:r>
        <w:rPr>
          <w:szCs w:val="24"/>
        </w:rPr>
        <w:t>РОССИЙСКОЙ ФЕДЕРАЦИИ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6C0343" w:rsidRDefault="006C0343" w:rsidP="006C0343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C0343" w:rsidRDefault="006C0343" w:rsidP="006C0343">
      <w:pPr>
        <w:jc w:val="center"/>
        <w:rPr>
          <w:b/>
          <w:szCs w:val="24"/>
        </w:rPr>
      </w:pPr>
    </w:p>
    <w:p w:rsidR="006C0343" w:rsidRDefault="006C0343" w:rsidP="006C0343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6C0343" w:rsidRDefault="006C0343" w:rsidP="006C0343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6C0343" w:rsidRDefault="006C0343" w:rsidP="006C0343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6C0343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6C0343" w:rsidRDefault="006C0343" w:rsidP="006C0343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6C0343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6C0343" w:rsidRDefault="006C0343" w:rsidP="006C0343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6C0343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352CAE" w:rsidRDefault="007A5F21" w:rsidP="002769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C0343" w:rsidRPr="00207514" w:rsidRDefault="006C0343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352CAE" w:rsidRDefault="007A5F21" w:rsidP="002769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июня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C0343" w:rsidRPr="00207514" w:rsidRDefault="006C0343" w:rsidP="00AF0777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 w:rsidR="00AF0777">
              <w:rPr>
                <w:rFonts w:eastAsia="Calibri"/>
                <w:szCs w:val="24"/>
              </w:rPr>
              <w:t>8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6C0343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Pr="002132B2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Default="006C0343" w:rsidP="006C0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6C0343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9308B9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Векторный и тензорный анализ</w:t>
            </w:r>
          </w:p>
        </w:tc>
      </w:tr>
    </w:tbl>
    <w:p w:rsidR="006C0343" w:rsidRDefault="006C0343" w:rsidP="006C03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311F4F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Default="006C0343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332C">
            <w:pPr>
              <w:jc w:val="center"/>
              <w:rPr>
                <w:rFonts w:eastAsia="Calibri"/>
                <w:szCs w:val="24"/>
              </w:rPr>
            </w:pP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AF07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AF0777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6C0343" w:rsidRDefault="006C0343" w:rsidP="006C0343">
      <w:pPr>
        <w:rPr>
          <w:szCs w:val="24"/>
        </w:rPr>
      </w:pPr>
    </w:p>
    <w:p w:rsidR="0019131A" w:rsidRDefault="0019131A" w:rsidP="006C0343">
      <w:pPr>
        <w:rPr>
          <w:szCs w:val="24"/>
        </w:rPr>
      </w:pPr>
    </w:p>
    <w:p w:rsidR="0019131A" w:rsidRPr="004A7DE3" w:rsidRDefault="0019131A" w:rsidP="006C0343">
      <w:pPr>
        <w:rPr>
          <w:szCs w:val="24"/>
        </w:rPr>
      </w:pPr>
    </w:p>
    <w:p w:rsidR="006C0343" w:rsidRDefault="006C0343" w:rsidP="006C0343">
      <w:pPr>
        <w:rPr>
          <w:szCs w:val="24"/>
        </w:rPr>
      </w:pPr>
    </w:p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>Нижний Новгород – 201</w:t>
      </w:r>
      <w:r w:rsidR="00AF0777">
        <w:rPr>
          <w:szCs w:val="24"/>
        </w:rPr>
        <w:t>8</w:t>
      </w:r>
    </w:p>
    <w:p w:rsidR="0019131A" w:rsidRDefault="0019131A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lastRenderedPageBreak/>
        <w:t>1. Место и цели дисциплины в структуре ОПОП</w:t>
      </w:r>
    </w:p>
    <w:p w:rsidR="006C0343" w:rsidRPr="0019131A" w:rsidRDefault="006C0343" w:rsidP="0019131A">
      <w:pPr>
        <w:ind w:firstLine="709"/>
        <w:contextualSpacing/>
        <w:rPr>
          <w:b/>
          <w:szCs w:val="24"/>
        </w:rPr>
      </w:pPr>
      <w:r w:rsidRPr="0019131A">
        <w:rPr>
          <w:szCs w:val="24"/>
        </w:rPr>
        <w:t>Дисциплина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 (модулей) «Аналитическая геометрия» и «Линейная алгебра».</w:t>
      </w:r>
    </w:p>
    <w:p w:rsidR="006C0343" w:rsidRPr="0019131A" w:rsidRDefault="006C0343" w:rsidP="0019131A">
      <w:pPr>
        <w:ind w:firstLine="709"/>
        <w:contextualSpacing/>
        <w:rPr>
          <w:szCs w:val="24"/>
        </w:rPr>
      </w:pPr>
      <w:r w:rsidRPr="0019131A">
        <w:rPr>
          <w:szCs w:val="24"/>
        </w:rPr>
        <w:t xml:space="preserve">Целями освоения </w:t>
      </w:r>
      <w:r w:rsidRPr="0019131A">
        <w:rPr>
          <w:spacing w:val="-3"/>
          <w:szCs w:val="24"/>
        </w:rPr>
        <w:t>дисциплин</w:t>
      </w:r>
      <w:r w:rsidRPr="0019131A">
        <w:rPr>
          <w:szCs w:val="24"/>
        </w:rPr>
        <w:t>ы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являются: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овладение методами тензорной алгебры и подготовка студентов к изучению разделов теоретической физики и ряда специальных дисциплин, таких как теория упругости, кристаллография;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освоение студентами специфики математического аппарата алгебры тензоров, операций с основными дифференциальными операторами и их комбинациями, а также ознакомление с физическими примерами тензорных величин;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выработка у студентов практических навыков действий над тензорными величинами, преобразований систем координат, использования интегральных теорем векторного анализа.</w:t>
      </w:r>
    </w:p>
    <w:p w:rsidR="006C0343" w:rsidRPr="00B46369" w:rsidRDefault="006C0343" w:rsidP="0019131A">
      <w:pPr>
        <w:rPr>
          <w:sz w:val="20"/>
          <w:szCs w:val="24"/>
        </w:rPr>
      </w:pP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19131A">
        <w:rPr>
          <w:b/>
        </w:rPr>
        <w:t>2. Структура и содержание дисциплины</w:t>
      </w: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</w:pPr>
      <w:r w:rsidRPr="0019131A">
        <w:rPr>
          <w:u w:val="single"/>
        </w:rPr>
        <w:t>Объем дисциплины</w:t>
      </w:r>
      <w:r w:rsidRPr="0019131A">
        <w:t xml:space="preserve"> «Векторный и тензорный анализ» составляет 3 зачетных единицы, всего 108 часов, из которых 33 часа составляет контактная работа обучающегося с преподавателем (16 часов занятия лекционного типа, 16 часов занятия семинарского типа (практические занятия), в том числе 2 часа – мероприятия текущего контроля успеваемости), 75 часов составляет самостоятельная работа обучающегося в течение семестра.</w:t>
      </w:r>
    </w:p>
    <w:p w:rsidR="006C0343" w:rsidRPr="00B46369" w:rsidRDefault="006C0343" w:rsidP="006C0343">
      <w:pPr>
        <w:pStyle w:val="a5"/>
        <w:tabs>
          <w:tab w:val="clear" w:pos="822"/>
        </w:tabs>
        <w:spacing w:line="240" w:lineRule="auto"/>
        <w:ind w:left="0" w:firstLine="0"/>
        <w:rPr>
          <w:sz w:val="22"/>
        </w:rPr>
      </w:pP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  <w:u w:val="single"/>
        </w:rPr>
        <w:t>Содержание дисциплины</w:t>
      </w:r>
      <w:r w:rsidRPr="0019131A">
        <w:rPr>
          <w:szCs w:val="24"/>
        </w:rPr>
        <w:t xml:space="preserve"> «</w:t>
      </w:r>
      <w:r w:rsidRPr="0019131A">
        <w:rPr>
          <w:rFonts w:eastAsia="Calibri"/>
          <w:szCs w:val="28"/>
        </w:rPr>
        <w:t>Векторный и тензорный анализ</w:t>
      </w:r>
      <w:r w:rsidRPr="0019131A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0"/>
        <w:gridCol w:w="1033"/>
        <w:gridCol w:w="1072"/>
        <w:gridCol w:w="1060"/>
        <w:gridCol w:w="36"/>
        <w:gridCol w:w="955"/>
        <w:gridCol w:w="60"/>
        <w:gridCol w:w="657"/>
        <w:gridCol w:w="284"/>
        <w:gridCol w:w="707"/>
      </w:tblGrid>
      <w:tr w:rsidR="00B46369" w:rsidRPr="003078C1" w:rsidTr="00B46369">
        <w:trPr>
          <w:trHeight w:val="135"/>
        </w:trPr>
        <w:tc>
          <w:tcPr>
            <w:tcW w:w="2046" w:type="pct"/>
            <w:vMerge w:val="restart"/>
            <w:tcBorders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Всего</w:t>
            </w:r>
          </w:p>
          <w:p w:rsidR="006C0343" w:rsidRPr="0019131A" w:rsidRDefault="006C0343" w:rsidP="00276968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(часы)</w:t>
            </w:r>
          </w:p>
        </w:tc>
        <w:tc>
          <w:tcPr>
            <w:tcW w:w="2433" w:type="pct"/>
            <w:gridSpan w:val="8"/>
            <w:tcBorders>
              <w:lef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в том числе</w:t>
            </w:r>
          </w:p>
        </w:tc>
      </w:tr>
      <w:tr w:rsidR="0019131A" w:rsidRPr="003078C1" w:rsidTr="00B46369">
        <w:trPr>
          <w:trHeight w:val="644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vAlign w:val="center"/>
          </w:tcPr>
          <w:p w:rsidR="006C0343" w:rsidRPr="0019131A" w:rsidRDefault="006C0343" w:rsidP="0019131A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19131A">
              <w:rPr>
                <w:b/>
                <w:szCs w:val="24"/>
              </w:rPr>
              <w:t xml:space="preserve"> </w:t>
            </w:r>
            <w:r w:rsidRPr="0019131A">
              <w:rPr>
                <w:b/>
                <w:szCs w:val="24"/>
              </w:rPr>
              <w:t>из них</w:t>
            </w:r>
          </w:p>
        </w:tc>
        <w:tc>
          <w:tcPr>
            <w:tcW w:w="500" w:type="pct"/>
            <w:gridSpan w:val="2"/>
            <w:vMerge w:val="restart"/>
            <w:textDirection w:val="btLr"/>
            <w:vAlign w:val="center"/>
          </w:tcPr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Самостоятельная работа</w:t>
            </w:r>
          </w:p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19131A">
              <w:rPr>
                <w:b/>
                <w:szCs w:val="24"/>
              </w:rPr>
              <w:t>в течение семестра, часы</w:t>
            </w:r>
          </w:p>
        </w:tc>
      </w:tr>
      <w:tr w:rsidR="00B46369" w:rsidRPr="003078C1" w:rsidTr="00B46369">
        <w:trPr>
          <w:cantSplit/>
          <w:trHeight w:val="1719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лекционного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типа</w:t>
            </w:r>
          </w:p>
        </w:tc>
        <w:tc>
          <w:tcPr>
            <w:tcW w:w="534" w:type="pct"/>
            <w:textDirection w:val="btLr"/>
            <w:tcFitText/>
            <w:vAlign w:val="center"/>
          </w:tcPr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499" w:type="pct"/>
            <w:gridSpan w:val="2"/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лабораторного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</w:pPr>
            <w:r w:rsidRPr="00B46369">
              <w:rPr>
                <w:b/>
              </w:rPr>
              <w:t>типа</w:t>
            </w:r>
          </w:p>
        </w:tc>
        <w:tc>
          <w:tcPr>
            <w:tcW w:w="361" w:type="pct"/>
            <w:gridSpan w:val="2"/>
            <w:textDirection w:val="btLr"/>
            <w:vAlign w:val="center"/>
          </w:tcPr>
          <w:p w:rsidR="006C0343" w:rsidRPr="000B2889" w:rsidRDefault="006C0343" w:rsidP="0019131A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0" w:type="pct"/>
            <w:gridSpan w:val="2"/>
            <w:vMerge/>
          </w:tcPr>
          <w:p w:rsidR="006C0343" w:rsidRPr="003F5B5B" w:rsidRDefault="006C0343" w:rsidP="0019131A">
            <w:pPr>
              <w:tabs>
                <w:tab w:val="num" w:pos="176"/>
              </w:tabs>
              <w:rPr>
                <w:b/>
              </w:rPr>
            </w:pPr>
          </w:p>
        </w:tc>
      </w:tr>
      <w:tr w:rsidR="0019131A" w:rsidRPr="003078C1" w:rsidTr="00B46369">
        <w:trPr>
          <w:trHeight w:val="202"/>
        </w:trPr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1. Векторная алгебра.</w:t>
            </w:r>
          </w:p>
          <w:p w:rsidR="006C0343" w:rsidRPr="00031E22" w:rsidRDefault="006C0343" w:rsidP="00B46369">
            <w:pPr>
              <w:contextualSpacing/>
              <w:jc w:val="left"/>
              <w:rPr>
                <w:szCs w:val="24"/>
              </w:rPr>
            </w:pPr>
            <w:r w:rsidRPr="00031E22">
              <w:rPr>
                <w:szCs w:val="24"/>
              </w:rPr>
              <w:t>Понятие линейного (векторного) пространства. Линейная зависимость векторов. Размерность и базис векторного пространства. Декартова систем координат. Скалярное, векторное и смешанное произведения векторов. Преобразование компонент вектора при повороте системы координат. Матрица поворота и ее свойства.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10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2. Тензорная алгебра.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Определение тензора. Ранг тензора. Сложение, умножение тензоров. Свертка. Скалярное умножение тензоров. Теорема деления.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3. Приложения теории тензоров.</w:t>
            </w:r>
          </w:p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lastRenderedPageBreak/>
              <w:t xml:space="preserve">Симметрия тензоров. Инвариантность тензорных соотношений. Тензор поляризации, тензор механических напряжений, тензор инерции. Главные оси и главные значения тензора. Тензорная поверхность. Инварианты тензоров второго ранга. Изотропные тензоры. Тензор </w:t>
            </w:r>
            <w:proofErr w:type="spellStart"/>
            <w:r w:rsidRPr="00E83792">
              <w:rPr>
                <w:szCs w:val="24"/>
              </w:rPr>
              <w:t>Леви-Чивита</w:t>
            </w:r>
            <w:proofErr w:type="spellEnd"/>
            <w:r w:rsidRPr="00E83792">
              <w:rPr>
                <w:szCs w:val="24"/>
              </w:rPr>
              <w:t>. Векторное, двойное векторное и смешанное произведения в тензорной форме.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lastRenderedPageBreak/>
              <w:t>29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21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lastRenderedPageBreak/>
              <w:t>4. Тензорные поля.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Градиент, ротор и дивергенция. Понятия потенциального и вихревого полей. Дифференциальные операции 2-го порядка, оператор Лапласа. Интегральные теоремы векторного анализа. Векторные тождества.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30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5. Криволинейные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Криволинейные системы координат, сферические и цилиндрические координаты. Коэффициенты Ламе. Метрический тензор. Якобиан. Дифференциальные операторы в криволинейных координатах.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6. Преобразования компонент векторов при инверсии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Инверсия декартовой системы координат. Правая и левая тройки базисных векторов. Полярный и аксиальный векторы. Скаляры и псевдоскаляры.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0B2889" w:rsidRDefault="006C0343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</w:tr>
      <w:tr w:rsidR="006C0343" w:rsidRPr="0019131A" w:rsidTr="00B46369">
        <w:tc>
          <w:tcPr>
            <w:tcW w:w="5000" w:type="pct"/>
            <w:gridSpan w:val="10"/>
          </w:tcPr>
          <w:p w:rsidR="006C0343" w:rsidRPr="0019131A" w:rsidRDefault="006C0343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19131A">
              <w:t xml:space="preserve">Промежуточная аттестация – </w:t>
            </w:r>
            <w:r w:rsidRPr="0019131A">
              <w:rPr>
                <w:b/>
              </w:rPr>
              <w:t>зачет</w:t>
            </w:r>
          </w:p>
        </w:tc>
      </w:tr>
      <w:tr w:rsidR="0019131A" w:rsidRPr="0019131A" w:rsidTr="00B46369">
        <w:tc>
          <w:tcPr>
            <w:tcW w:w="2046" w:type="pct"/>
            <w:tcBorders>
              <w:right w:val="single" w:sz="4" w:space="0" w:color="auto"/>
            </w:tcBorders>
          </w:tcPr>
          <w:p w:rsidR="0019131A" w:rsidRPr="0019131A" w:rsidRDefault="0019131A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75</w:t>
            </w:r>
          </w:p>
        </w:tc>
      </w:tr>
    </w:tbl>
    <w:p w:rsidR="006C0343" w:rsidRPr="00B46369" w:rsidRDefault="006C0343" w:rsidP="0019131A">
      <w:pPr>
        <w:rPr>
          <w:sz w:val="20"/>
          <w:szCs w:val="28"/>
        </w:rPr>
      </w:pPr>
    </w:p>
    <w:p w:rsidR="006C0343" w:rsidRPr="0019131A" w:rsidRDefault="006C0343" w:rsidP="0019131A">
      <w:pPr>
        <w:rPr>
          <w:b/>
          <w:szCs w:val="28"/>
        </w:rPr>
      </w:pPr>
      <w:r w:rsidRPr="0019131A">
        <w:rPr>
          <w:b/>
          <w:szCs w:val="28"/>
        </w:rPr>
        <w:t>3. Образовательные технологии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1) Чтение лекций;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2) сопровождение лекций написанием и выводом формул, построением графиков, изображением рисунков на доске;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3) методика «вопросы и ответы»;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4) выполнение практического задания у доски;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5) индивидуальная работа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6) работа в парах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7) работа в малых группах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8) методика «мозговой штурм».</w:t>
      </w:r>
    </w:p>
    <w:p w:rsidR="006C0343" w:rsidRPr="00B46369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 w:val="20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19131A" w:rsidRDefault="006C0343" w:rsidP="0019131A">
      <w:pPr>
        <w:rPr>
          <w:szCs w:val="24"/>
        </w:rPr>
      </w:pPr>
      <w:r w:rsidRPr="0019131A">
        <w:rPr>
          <w:b/>
          <w:szCs w:val="24"/>
        </w:rPr>
        <w:lastRenderedPageBreak/>
        <w:t>4. Учебно-методическое обеспечение самостоятельной работы обучающихся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6C0343" w:rsidRPr="006D5AA3" w:rsidTr="00B46369">
        <w:tc>
          <w:tcPr>
            <w:tcW w:w="4820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Формируемые компетенции</w:t>
            </w:r>
          </w:p>
        </w:tc>
        <w:tc>
          <w:tcPr>
            <w:tcW w:w="5103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Планируемые рез</w:t>
            </w:r>
            <w:r>
              <w:rPr>
                <w:rFonts w:eastAsia="Calibri"/>
                <w:b/>
              </w:rPr>
              <w:t>ультаты обучения по дисциплине</w:t>
            </w:r>
          </w:p>
        </w:tc>
      </w:tr>
      <w:tr w:rsidR="006C0343" w:rsidRPr="006D5AA3" w:rsidTr="00B46369">
        <w:trPr>
          <w:trHeight w:val="1370"/>
        </w:trPr>
        <w:tc>
          <w:tcPr>
            <w:tcW w:w="4820" w:type="dxa"/>
          </w:tcPr>
          <w:p w:rsidR="006C0343" w:rsidRPr="006D5AA3" w:rsidRDefault="006C0343" w:rsidP="00B46369">
            <w:pPr>
              <w:tabs>
                <w:tab w:val="num" w:pos="30"/>
              </w:tabs>
              <w:contextualSpacing/>
              <w:jc w:val="center"/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szCs w:val="24"/>
              </w:rPr>
              <w:t>ОПК-2</w:t>
            </w:r>
          </w:p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Style w:val="FontStyle39"/>
                <w:rFonts w:eastAsia="Calibri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5103" w:type="dxa"/>
          </w:tcPr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Знать</w:t>
            </w:r>
            <w:r w:rsidRPr="006D5AA3">
              <w:rPr>
                <w:rFonts w:eastAsia="Calibri"/>
                <w:szCs w:val="24"/>
              </w:rPr>
              <w:t xml:space="preserve"> основные теоретические положения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 xml:space="preserve">Уметь </w:t>
            </w:r>
            <w:r w:rsidRPr="006D5AA3">
              <w:rPr>
                <w:rFonts w:eastAsia="Calibri"/>
                <w:szCs w:val="24"/>
              </w:rPr>
              <w:t>решать в рамках профессиональной деятельности задачи, требующие знания основ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Владеть</w:t>
            </w:r>
            <w:r w:rsidRPr="006D5AA3">
              <w:rPr>
                <w:rFonts w:eastAsia="Calibri"/>
                <w:szCs w:val="24"/>
              </w:rPr>
              <w:t xml:space="preserve"> навыками расчётов с использованием основ векторного и тензорного анализа.</w:t>
            </w:r>
          </w:p>
        </w:tc>
      </w:tr>
    </w:tbl>
    <w:p w:rsidR="006C0343" w:rsidRPr="00B46369" w:rsidRDefault="006C0343" w:rsidP="006C0343">
      <w:pPr>
        <w:rPr>
          <w:sz w:val="20"/>
          <w:szCs w:val="24"/>
        </w:rPr>
      </w:pPr>
    </w:p>
    <w:p w:rsidR="006C0343" w:rsidRPr="00B46369" w:rsidRDefault="006C0343" w:rsidP="00B46369">
      <w:pPr>
        <w:contextualSpacing/>
        <w:rPr>
          <w:szCs w:val="24"/>
        </w:rPr>
      </w:pPr>
      <w:r w:rsidRPr="00B46369">
        <w:rPr>
          <w:b/>
          <w:szCs w:val="24"/>
        </w:rPr>
        <w:t>6. Фонд оценочных средств для промежуточной аттестации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B4636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«Векторный и тензорный анализ» является </w:t>
      </w:r>
      <w:r w:rsidRPr="00B46369">
        <w:rPr>
          <w:rFonts w:ascii="Times New Roman" w:hAnsi="Times New Roman"/>
          <w:b/>
          <w:sz w:val="24"/>
          <w:szCs w:val="24"/>
        </w:rPr>
        <w:t>зачет</w:t>
      </w:r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 итогам зачета выставляется оценка «Зачтено» или «Не зачтено». Оценка «Не зачтено» означает отсутствие аттестации, оценка «Зачтено» выставляется при успешном прохождении аттестации.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  <w:highlight w:val="yellow"/>
        </w:rPr>
      </w:pP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«Не 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B46369" w:rsidRDefault="00B46369">
      <w:pPr>
        <w:jc w:val="left"/>
        <w:rPr>
          <w:rFonts w:eastAsia="Calibri" w:cs="Times New Roman"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lastRenderedPageBreak/>
        <w:t>6.3. Типовые контрольные задания или иные материалы, необходимые для оценки результатов обучения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B46369">
        <w:rPr>
          <w:szCs w:val="24"/>
          <w:u w:val="single"/>
        </w:rPr>
        <w:t>контрольные вопросы</w:t>
      </w:r>
      <w:r w:rsidRPr="00B46369">
        <w:rPr>
          <w:szCs w:val="24"/>
        </w:rPr>
        <w:t>, охватывающие программу дисциплины «</w:t>
      </w:r>
      <w:r w:rsidRPr="00B46369">
        <w:rPr>
          <w:rFonts w:eastAsia="Calibri"/>
          <w:szCs w:val="24"/>
        </w:rPr>
        <w:t>Векторный и тензорный анализ</w:t>
      </w:r>
      <w:r w:rsidRPr="00B46369">
        <w:rPr>
          <w:szCs w:val="24"/>
        </w:rPr>
        <w:t>»: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Линейная зависимость векторов.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Базис в векторном пространстве. Декартова система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Преобразование компонент вектора при повороте системы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Операции над тензорными величинами.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Теорема деления.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Симметрия тензоров. Симметричная и антисимметричная составляющие тензора второго ранга.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Приведение симметричного тензора второго ранга к диагональному виду.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Тензорная поверхность.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Изотропные тензоры.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Оператор «набла» (примеры использования).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Криволинейные координаты. Коэффициенты </w:t>
      </w:r>
      <w:proofErr w:type="spellStart"/>
      <w:r w:rsidRPr="00B46369">
        <w:rPr>
          <w:rFonts w:ascii="Times New Roman" w:hAnsi="Times New Roman"/>
          <w:sz w:val="24"/>
          <w:szCs w:val="24"/>
        </w:rPr>
        <w:t>Ламэ</w:t>
      </w:r>
      <w:proofErr w:type="spellEnd"/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Криволинейные координаты. Якобиан.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Полярные и аксиальные векторы.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 инерции твердого тела.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1. Дан вектор </w:t>
      </w:r>
      <w:r w:rsidRPr="00B46369">
        <w:rPr>
          <w:position w:val="-10"/>
          <w:szCs w:val="24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19.6pt" o:ole="" fillcolor="window">
            <v:imagedata r:id="rId6" o:title=""/>
          </v:shape>
          <o:OLEObject Type="Embed" ProgID="Equation.3" ShapeID="_x0000_i1025" DrawAspect="Content" ObjectID="_1617770075" r:id="rId7"/>
        </w:object>
      </w:r>
      <w:r w:rsidRPr="00B46369">
        <w:rPr>
          <w:szCs w:val="24"/>
        </w:rPr>
        <w:t xml:space="preserve">, где </w:t>
      </w:r>
      <w:r w:rsidRPr="00B46369">
        <w:rPr>
          <w:position w:val="-6"/>
          <w:szCs w:val="24"/>
        </w:rPr>
        <w:object w:dxaOrig="200" w:dyaOrig="279">
          <v:shape id="_x0000_i1026" type="#_x0000_t75" style="width:9.8pt;height:13.8pt" o:ole="" fillcolor="window">
            <v:imagedata r:id="rId8" o:title=""/>
          </v:shape>
          <o:OLEObject Type="Embed" ProgID="Equation.3" ShapeID="_x0000_i1026" DrawAspect="Content" ObjectID="_1617770076" r:id="rId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340">
          <v:shape id="_x0000_i1027" type="#_x0000_t75" style="width:9.8pt;height:17.3pt" o:ole="" fillcolor="window">
            <v:imagedata r:id="rId10" o:title=""/>
          </v:shape>
          <o:OLEObject Type="Embed" ProgID="Equation.3" ShapeID="_x0000_i1027" DrawAspect="Content" ObjectID="_1617770077" r:id="rId11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00" w:dyaOrig="279">
          <v:shape id="_x0000_i1028" type="#_x0000_t75" style="width:9.8pt;height:13.8pt" o:ole="" fillcolor="window">
            <v:imagedata r:id="rId12" o:title=""/>
          </v:shape>
          <o:OLEObject Type="Embed" ProgID="Equation.3" ShapeID="_x0000_i1028" DrawAspect="Content" ObjectID="_1617770078" r:id="rId13"/>
        </w:object>
      </w:r>
      <w:r w:rsidRPr="00B46369">
        <w:rPr>
          <w:szCs w:val="24"/>
        </w:rPr>
        <w:t xml:space="preserve"> – взаимно перпендикулярные векторы, причем |</w:t>
      </w:r>
      <w:r w:rsidRPr="00B46369">
        <w:rPr>
          <w:position w:val="-6"/>
          <w:szCs w:val="24"/>
        </w:rPr>
        <w:object w:dxaOrig="200" w:dyaOrig="279">
          <v:shape id="_x0000_i1029" type="#_x0000_t75" style="width:9.8pt;height:13.8pt" o:ole="" fillcolor="window">
            <v:imagedata r:id="rId14" o:title=""/>
          </v:shape>
          <o:OLEObject Type="Embed" ProgID="Equation.3" ShapeID="_x0000_i1029" DrawAspect="Content" ObjectID="_1617770079" r:id="rId15"/>
        </w:object>
      </w:r>
      <w:r w:rsidRPr="00B46369">
        <w:rPr>
          <w:szCs w:val="24"/>
        </w:rPr>
        <w:t>| = 1, |</w:t>
      </w:r>
      <w:r w:rsidRPr="00B46369">
        <w:rPr>
          <w:position w:val="-6"/>
          <w:szCs w:val="24"/>
        </w:rPr>
        <w:object w:dxaOrig="200" w:dyaOrig="340">
          <v:shape id="_x0000_i1030" type="#_x0000_t75" style="width:9.8pt;height:17.3pt" o:ole="" fillcolor="window">
            <v:imagedata r:id="rId16" o:title=""/>
          </v:shape>
          <o:OLEObject Type="Embed" ProgID="Equation.3" ShapeID="_x0000_i1030" DrawAspect="Content" ObjectID="_1617770080" r:id="rId17"/>
        </w:object>
      </w:r>
      <w:r w:rsidRPr="00B46369">
        <w:rPr>
          <w:szCs w:val="24"/>
        </w:rPr>
        <w:t>| = 2 и |</w:t>
      </w:r>
      <w:r w:rsidRPr="00B46369">
        <w:rPr>
          <w:position w:val="-6"/>
          <w:szCs w:val="24"/>
        </w:rPr>
        <w:object w:dxaOrig="200" w:dyaOrig="279">
          <v:shape id="_x0000_i1031" type="#_x0000_t75" style="width:9.8pt;height:13.8pt" o:ole="" fillcolor="window">
            <v:imagedata r:id="rId18" o:title=""/>
          </v:shape>
          <o:OLEObject Type="Embed" ProgID="Equation.3" ShapeID="_x0000_i1031" DrawAspect="Content" ObjectID="_1617770081" r:id="rId19"/>
        </w:object>
      </w:r>
      <w:r w:rsidRPr="00B46369">
        <w:rPr>
          <w:szCs w:val="24"/>
        </w:rPr>
        <w:t xml:space="preserve">| = 3. Найти углы между вектором </w:t>
      </w:r>
      <w:r w:rsidRPr="00B46369">
        <w:rPr>
          <w:position w:val="-10"/>
          <w:szCs w:val="24"/>
        </w:rPr>
        <w:object w:dxaOrig="200" w:dyaOrig="300">
          <v:shape id="_x0000_i1032" type="#_x0000_t75" style="width:9.8pt;height:15pt" o:ole="" fillcolor="window">
            <v:imagedata r:id="rId20" o:title=""/>
          </v:shape>
          <o:OLEObject Type="Embed" ProgID="Equation.3" ShapeID="_x0000_i1032" DrawAspect="Content" ObjectID="_1617770082" r:id="rId21"/>
        </w:object>
      </w:r>
      <w:r w:rsidRPr="00B46369">
        <w:rPr>
          <w:szCs w:val="24"/>
        </w:rPr>
        <w:t xml:space="preserve"> и</w:t>
      </w:r>
    </w:p>
    <w:p w:rsidR="006C0343" w:rsidRPr="00B46369" w:rsidRDefault="006C0343" w:rsidP="00B46369">
      <w:pPr>
        <w:ind w:firstLine="709"/>
        <w:rPr>
          <w:szCs w:val="24"/>
        </w:rPr>
      </w:pPr>
      <w:r w:rsidRPr="00B46369">
        <w:rPr>
          <w:szCs w:val="24"/>
        </w:rPr>
        <w:t xml:space="preserve">а) векторами </w:t>
      </w:r>
      <w:r w:rsidRPr="00B46369">
        <w:rPr>
          <w:position w:val="-6"/>
          <w:szCs w:val="24"/>
        </w:rPr>
        <w:object w:dxaOrig="200" w:dyaOrig="279">
          <v:shape id="_x0000_i1033" type="#_x0000_t75" style="width:9.8pt;height:13.8pt" o:ole="" fillcolor="window">
            <v:imagedata r:id="rId22" o:title=""/>
          </v:shape>
          <o:OLEObject Type="Embed" ProgID="Equation.3" ShapeID="_x0000_i1033" DrawAspect="Content" ObjectID="_1617770083" r:id="rId23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34" type="#_x0000_t75" style="width:10.95pt;height:17.3pt" o:ole="" fillcolor="window">
            <v:imagedata r:id="rId24" o:title=""/>
          </v:shape>
          <o:OLEObject Type="Embed" ProgID="Equation.3" ShapeID="_x0000_i1034" DrawAspect="Content" ObjectID="_1617770084" r:id="rId25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35" type="#_x0000_t75" style="width:9.8pt;height:13.8pt" o:ole="" fillcolor="window">
            <v:imagedata r:id="rId26" o:title=""/>
          </v:shape>
          <o:OLEObject Type="Embed" ProgID="Equation.3" ShapeID="_x0000_i1035" DrawAspect="Content" ObjectID="_1617770085" r:id="rId27"/>
        </w:object>
      </w:r>
      <w:r w:rsidRPr="00B46369">
        <w:rPr>
          <w:szCs w:val="24"/>
        </w:rPr>
        <w:t>;</w:t>
      </w:r>
      <w:r w:rsidRPr="00B46369">
        <w:rPr>
          <w:szCs w:val="24"/>
        </w:rPr>
        <w:tab/>
        <w:t xml:space="preserve">       б) векторами </w:t>
      </w:r>
      <w:r w:rsidRPr="00B46369">
        <w:rPr>
          <w:position w:val="-6"/>
          <w:szCs w:val="24"/>
        </w:rPr>
        <w:object w:dxaOrig="580" w:dyaOrig="340">
          <v:shape id="_x0000_i1036" type="#_x0000_t75" style="width:28.8pt;height:17.3pt" o:ole="" fillcolor="window">
            <v:imagedata r:id="rId28" o:title=""/>
          </v:shape>
          <o:OLEObject Type="Embed" ProgID="Equation.3" ShapeID="_x0000_i1036" DrawAspect="Content" ObjectID="_1617770086" r:id="rId29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260" w:dyaOrig="380">
          <v:shape id="_x0000_i1037" type="#_x0000_t75" style="width:62.8pt;height:19.6pt" o:ole="" fillcolor="window">
            <v:imagedata r:id="rId30" o:title=""/>
          </v:shape>
          <o:OLEObject Type="Embed" ProgID="Equation.3" ShapeID="_x0000_i1037" DrawAspect="Content" ObjectID="_1617770087" r:id="rId3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2. При каком значении </w:t>
      </w:r>
      <w:r w:rsidRPr="00B46369">
        <w:rPr>
          <w:i/>
          <w:szCs w:val="24"/>
          <w:lang w:val="en-US"/>
        </w:rPr>
        <w:t>t</w:t>
      </w:r>
      <w:r w:rsidRPr="00B46369">
        <w:rPr>
          <w:szCs w:val="24"/>
        </w:rPr>
        <w:t xml:space="preserve"> векторы </w:t>
      </w:r>
      <w:r w:rsidRPr="00B46369">
        <w:rPr>
          <w:position w:val="-10"/>
          <w:szCs w:val="24"/>
        </w:rPr>
        <w:object w:dxaOrig="1160" w:dyaOrig="320">
          <v:shape id="_x0000_i1038" type="#_x0000_t75" style="width:57.6pt;height:16.15pt" o:ole="" fillcolor="window">
            <v:imagedata r:id="rId32" o:title=""/>
          </v:shape>
          <o:OLEObject Type="Embed" ProgID="Equation.3" ShapeID="_x0000_i1038" DrawAspect="Content" ObjectID="_1617770088" r:id="rId33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60" w:dyaOrig="380">
          <v:shape id="_x0000_i1039" type="#_x0000_t75" style="width:57.6pt;height:19.6pt" o:ole="" fillcolor="window">
            <v:imagedata r:id="rId34" o:title=""/>
          </v:shape>
          <o:OLEObject Type="Embed" ProgID="Equation.3" ShapeID="_x0000_i1039" DrawAspect="Content" ObjectID="_1617770089" r:id="rId35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140" w:dyaOrig="320">
          <v:shape id="_x0000_i1040" type="#_x0000_t75" style="width:57pt;height:16.15pt" o:ole="" fillcolor="window">
            <v:imagedata r:id="rId36" o:title=""/>
          </v:shape>
          <o:OLEObject Type="Embed" ProgID="Equation.3" ShapeID="_x0000_i1040" DrawAspect="Content" ObjectID="_1617770090" r:id="rId37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компланарны</w:t>
      </w:r>
      <w:proofErr w:type="spellEnd"/>
      <w:r w:rsidRPr="00B46369">
        <w:rPr>
          <w:szCs w:val="24"/>
        </w:rPr>
        <w:t>?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3. Параллелепипед построен на некомпланарных векторах </w:t>
      </w:r>
      <w:r w:rsidRPr="00B46369">
        <w:rPr>
          <w:position w:val="-6"/>
          <w:szCs w:val="24"/>
        </w:rPr>
        <w:object w:dxaOrig="200" w:dyaOrig="279">
          <v:shape id="_x0000_i1041" type="#_x0000_t75" style="width:9.8pt;height:13.8pt" o:ole="" fillcolor="window">
            <v:imagedata r:id="rId38" o:title=""/>
          </v:shape>
          <o:OLEObject Type="Embed" ProgID="Equation.3" ShapeID="_x0000_i1041" DrawAspect="Content" ObjectID="_1617770091" r:id="rId3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42" type="#_x0000_t75" style="width:10.95pt;height:17.3pt" o:ole="" fillcolor="window">
            <v:imagedata r:id="rId40" o:title=""/>
          </v:shape>
          <o:OLEObject Type="Embed" ProgID="Equation.3" ShapeID="_x0000_i1042" DrawAspect="Content" ObjectID="_1617770092" r:id="rId41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43" type="#_x0000_t75" style="width:9.8pt;height:13.8pt" o:ole="" fillcolor="window">
            <v:imagedata r:id="rId42" o:title=""/>
          </v:shape>
          <o:OLEObject Type="Embed" ProgID="Equation.3" ShapeID="_x0000_i1043" DrawAspect="Content" ObjectID="_1617770093" r:id="rId43"/>
        </w:object>
      </w:r>
      <w:r w:rsidRPr="00B46369">
        <w:rPr>
          <w:szCs w:val="24"/>
        </w:rPr>
        <w:t>. Найти площади его диагональных сечений и объем.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4. Компоненты двух векторов заданы в различных системах координат следующим образом: при повороте системы координат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proofErr w:type="spellStart"/>
      <w:r w:rsidRPr="00B46369">
        <w:rPr>
          <w:i/>
          <w:szCs w:val="24"/>
          <w:lang w:val="en-US"/>
        </w:rPr>
        <w:t>Oy</w:t>
      </w:r>
      <w:proofErr w:type="spellEnd"/>
      <w:r w:rsidRPr="00B46369">
        <w:rPr>
          <w:szCs w:val="24"/>
        </w:rPr>
        <w:t xml:space="preserve"> на 30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320" w:dyaOrig="380">
          <v:shape id="_x0000_i1044" type="#_x0000_t75" style="width:65.65pt;height:19pt" o:ole="" fillcolor="window">
            <v:imagedata r:id="rId44" o:title=""/>
          </v:shape>
          <o:OLEObject Type="Embed" ProgID="Equation.3" ShapeID="_x0000_i1044" DrawAspect="Content" ObjectID="_1617770094" r:id="rId45"/>
        </w:object>
      </w:r>
      <w:r w:rsidRPr="00B46369">
        <w:rPr>
          <w:szCs w:val="24"/>
        </w:rPr>
        <w:t xml:space="preserve">, а при повороте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r w:rsidRPr="00B46369">
        <w:rPr>
          <w:i/>
          <w:szCs w:val="24"/>
          <w:lang w:val="en-US"/>
        </w:rPr>
        <w:t>Oz</w:t>
      </w:r>
      <w:r w:rsidRPr="00B46369">
        <w:rPr>
          <w:szCs w:val="24"/>
        </w:rPr>
        <w:t xml:space="preserve"> на 45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620" w:dyaOrig="380">
          <v:shape id="_x0000_i1045" type="#_x0000_t75" style="width:81.2pt;height:19pt" o:ole="" fillcolor="window">
            <v:imagedata r:id="rId46" o:title=""/>
          </v:shape>
          <o:OLEObject Type="Embed" ProgID="Equation.3" ShapeID="_x0000_i1045" DrawAspect="Content" ObjectID="_1617770095" r:id="rId47"/>
        </w:object>
      </w:r>
      <w:r w:rsidRPr="00B46369">
        <w:rPr>
          <w:szCs w:val="24"/>
        </w:rPr>
        <w:t>. Найти скалярное произведение этих векторов.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5. Доказать, что произведение </w:t>
      </w:r>
      <w:r w:rsidRPr="00B46369">
        <w:rPr>
          <w:position w:val="-14"/>
          <w:szCs w:val="24"/>
        </w:rPr>
        <w:object w:dxaOrig="1100" w:dyaOrig="380">
          <v:shape id="_x0000_i1046" type="#_x0000_t75" style="width:54.7pt;height:18.45pt" o:ole="" fillcolor="window">
            <v:imagedata r:id="rId48" o:title=""/>
          </v:shape>
          <o:OLEObject Type="Embed" ProgID="Equation.3" ShapeID="_x0000_i1046" DrawAspect="Content" ObjectID="_1617770096" r:id="rId49"/>
        </w:object>
      </w:r>
      <w:r w:rsidRPr="00B46369">
        <w:rPr>
          <w:szCs w:val="24"/>
        </w:rPr>
        <w:t xml:space="preserve"> является вектором, если </w:t>
      </w:r>
      <w:r w:rsidRPr="00B46369">
        <w:rPr>
          <w:position w:val="-4"/>
          <w:szCs w:val="24"/>
        </w:rPr>
        <w:object w:dxaOrig="240" w:dyaOrig="320">
          <v:shape id="_x0000_i1047" type="#_x0000_t75" style="width:12.1pt;height:16.15pt" o:ole="" fillcolor="window">
            <v:imagedata r:id="rId50" o:title=""/>
          </v:shape>
          <o:OLEObject Type="Embed" ProgID="Equation.3" ShapeID="_x0000_i1047" DrawAspect="Content" ObjectID="_1617770097" r:id="rId51"/>
        </w:object>
      </w:r>
      <w:r w:rsidRPr="00B46369">
        <w:rPr>
          <w:szCs w:val="24"/>
        </w:rPr>
        <w:t xml:space="preserve">, </w:t>
      </w:r>
      <w:r w:rsidRPr="00B46369">
        <w:rPr>
          <w:position w:val="-4"/>
          <w:szCs w:val="24"/>
        </w:rPr>
        <w:object w:dxaOrig="240" w:dyaOrig="320">
          <v:shape id="_x0000_i1048" type="#_x0000_t75" style="width:12.1pt;height:16.15pt" o:ole="" fillcolor="window">
            <v:imagedata r:id="rId52" o:title=""/>
          </v:shape>
          <o:OLEObject Type="Embed" ProgID="Equation.3" ShapeID="_x0000_i1048" DrawAspect="Content" ObjectID="_1617770098" r:id="rId53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40" w:dyaOrig="340">
          <v:shape id="_x0000_i1049" type="#_x0000_t75" style="width:12.1pt;height:17.3pt" o:ole="" fillcolor="window">
            <v:imagedata r:id="rId54" o:title=""/>
          </v:shape>
          <o:OLEObject Type="Embed" ProgID="Equation.3" ShapeID="_x0000_i1049" DrawAspect="Content" ObjectID="_1617770099" r:id="rId55"/>
        </w:object>
      </w:r>
      <w:r w:rsidRPr="00B46369">
        <w:rPr>
          <w:szCs w:val="24"/>
        </w:rPr>
        <w:t xml:space="preserve"> – векторы.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 В некоторой декартовой системе координат имеет место соотношение </w:t>
      </w:r>
      <w:r w:rsidRPr="00B46369">
        <w:rPr>
          <w:position w:val="-12"/>
          <w:szCs w:val="24"/>
        </w:rPr>
        <w:object w:dxaOrig="1400" w:dyaOrig="360">
          <v:shape id="_x0000_i1050" type="#_x0000_t75" style="width:69.7pt;height:17.85pt" o:ole="" fillcolor="window">
            <v:imagedata r:id="rId56" o:title=""/>
          </v:shape>
          <o:OLEObject Type="Embed" ProgID="Equation.3" ShapeID="_x0000_i1050" DrawAspect="Content" ObjectID="_1617770100" r:id="rId57"/>
        </w:object>
      </w:r>
      <w:r w:rsidRPr="00B46369">
        <w:rPr>
          <w:szCs w:val="24"/>
        </w:rPr>
        <w:t xml:space="preserve">. Доказать, что </w:t>
      </w:r>
      <w:r w:rsidRPr="00B46369">
        <w:rPr>
          <w:position w:val="-12"/>
          <w:szCs w:val="24"/>
        </w:rPr>
        <w:object w:dxaOrig="380" w:dyaOrig="360">
          <v:shape id="_x0000_i1051" type="#_x0000_t75" style="width:19.6pt;height:17.85pt" o:ole="" fillcolor="window">
            <v:imagedata r:id="rId58" o:title=""/>
          </v:shape>
          <o:OLEObject Type="Embed" ProgID="Equation.3" ShapeID="_x0000_i1051" DrawAspect="Content" ObjectID="_1617770101" r:id="rId59"/>
        </w:object>
      </w:r>
      <w:r w:rsidRPr="00B46369">
        <w:rPr>
          <w:szCs w:val="24"/>
        </w:rPr>
        <w:t xml:space="preserve"> – тензор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ранга, если </w:t>
      </w:r>
      <w:r w:rsidRPr="00B46369">
        <w:rPr>
          <w:position w:val="-12"/>
          <w:szCs w:val="24"/>
        </w:rPr>
        <w:object w:dxaOrig="440" w:dyaOrig="360">
          <v:shape id="_x0000_i1052" type="#_x0000_t75" style="width:21.9pt;height:17.85pt" o:ole="" fillcolor="window">
            <v:imagedata r:id="rId60" o:title=""/>
          </v:shape>
          <o:OLEObject Type="Embed" ProgID="Equation.3" ShapeID="_x0000_i1052" DrawAspect="Content" ObjectID="_1617770102" r:id="rId61"/>
        </w:object>
      </w:r>
      <w:r w:rsidRPr="00B46369">
        <w:rPr>
          <w:szCs w:val="24"/>
        </w:rPr>
        <w:t xml:space="preserve"> и </w:t>
      </w:r>
      <w:r w:rsidRPr="00B46369">
        <w:rPr>
          <w:position w:val="-12"/>
          <w:szCs w:val="24"/>
        </w:rPr>
        <w:object w:dxaOrig="420" w:dyaOrig="360">
          <v:shape id="_x0000_i1053" type="#_x0000_t75" style="width:20.75pt;height:17.85pt" o:ole="" fillcolor="window">
            <v:imagedata r:id="rId62" o:title=""/>
          </v:shape>
          <o:OLEObject Type="Embed" ProgID="Equation.3" ShapeID="_x0000_i1053" DrawAspect="Content" ObjectID="_1617770103" r:id="rId63"/>
        </w:object>
      </w:r>
      <w:r w:rsidRPr="00B46369">
        <w:rPr>
          <w:szCs w:val="24"/>
        </w:rPr>
        <w:t xml:space="preserve"> – тензоры </w:t>
      </w:r>
      <w:r w:rsidRPr="00B46369">
        <w:rPr>
          <w:szCs w:val="24"/>
          <w:lang w:val="en-US"/>
        </w:rPr>
        <w:t>III</w:t>
      </w:r>
      <w:r w:rsidRPr="00B46369">
        <w:rPr>
          <w:szCs w:val="24"/>
        </w:rPr>
        <w:t>-го ранга.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7. В некоторой системе координат известны компоненты двух векторов – </w:t>
      </w:r>
      <w:r w:rsidR="00B46369" w:rsidRPr="00B46369">
        <w:rPr>
          <w:position w:val="-10"/>
          <w:szCs w:val="24"/>
        </w:rPr>
        <w:object w:dxaOrig="1359" w:dyaOrig="380">
          <v:shape id="_x0000_i1054" type="#_x0000_t75" style="width:67.95pt;height:19.6pt" o:ole="" fillcolor="window">
            <v:imagedata r:id="rId64" o:title=""/>
          </v:shape>
          <o:OLEObject Type="Embed" ProgID="Equation.3" ShapeID="_x0000_i1054" DrawAspect="Content" ObjectID="_1617770104" r:id="rId65"/>
        </w:object>
      </w:r>
      <w:r w:rsidRPr="00B46369">
        <w:rPr>
          <w:szCs w:val="24"/>
        </w:rPr>
        <w:t xml:space="preserve"> и </w:t>
      </w:r>
      <w:r w:rsidRPr="00B46369">
        <w:rPr>
          <w:position w:val="-10"/>
          <w:szCs w:val="24"/>
        </w:rPr>
        <w:object w:dxaOrig="1420" w:dyaOrig="380">
          <v:shape id="_x0000_i1055" type="#_x0000_t75" style="width:70.85pt;height:19.6pt" o:ole="" fillcolor="window">
            <v:imagedata r:id="rId66" o:title=""/>
          </v:shape>
          <o:OLEObject Type="Embed" ProgID="Equation.3" ShapeID="_x0000_i1055" DrawAspect="Content" ObjectID="_1617770105" r:id="rId67"/>
        </w:object>
      </w:r>
      <w:r w:rsidRPr="00B46369">
        <w:rPr>
          <w:szCs w:val="24"/>
        </w:rPr>
        <w:t xml:space="preserve">. Найти матрицу тензора </w:t>
      </w:r>
      <w:r w:rsidRPr="00B46369">
        <w:rPr>
          <w:position w:val="-14"/>
          <w:szCs w:val="24"/>
        </w:rPr>
        <w:object w:dxaOrig="1840" w:dyaOrig="380">
          <v:shape id="_x0000_i1056" type="#_x0000_t75" style="width:91.6pt;height:18.45pt" o:ole="" fillcolor="window">
            <v:imagedata r:id="rId68" o:title=""/>
          </v:shape>
          <o:OLEObject Type="Embed" ProgID="Equation.3" ShapeID="_x0000_i1056" DrawAspect="Content" ObjectID="_1617770106" r:id="rId69"/>
        </w:object>
      </w:r>
      <w:r w:rsidRPr="00B46369">
        <w:rPr>
          <w:szCs w:val="24"/>
        </w:rPr>
        <w:t xml:space="preserve"> и  вычислить его след.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8. Пусть вектор </w:t>
      </w:r>
      <w:r w:rsidRPr="00B46369">
        <w:rPr>
          <w:position w:val="-4"/>
          <w:szCs w:val="24"/>
        </w:rPr>
        <w:object w:dxaOrig="240" w:dyaOrig="320">
          <v:shape id="_x0000_i1057" type="#_x0000_t75" style="width:12.1pt;height:16.15pt" o:ole="" fillcolor="window">
            <v:imagedata r:id="rId70" o:title=""/>
          </v:shape>
          <o:OLEObject Type="Embed" ProgID="Equation.3" ShapeID="_x0000_i1057" DrawAspect="Content" ObjectID="_1617770107" r:id="rId71"/>
        </w:object>
      </w:r>
      <w:r w:rsidRPr="00B46369">
        <w:rPr>
          <w:szCs w:val="24"/>
        </w:rPr>
        <w:t xml:space="preserve"> имеет компоненты {1, 2, 3}. Найти следующую свертку: </w:t>
      </w:r>
      <w:r w:rsidRPr="00B46369">
        <w:rPr>
          <w:position w:val="-12"/>
          <w:szCs w:val="24"/>
          <w:lang w:val="en-US"/>
        </w:rPr>
        <w:object w:dxaOrig="999" w:dyaOrig="360">
          <v:shape id="_x0000_i1058" type="#_x0000_t75" style="width:50.1pt;height:17.85pt" o:ole="" fillcolor="window">
            <v:imagedata r:id="rId72" o:title=""/>
          </v:shape>
          <o:OLEObject Type="Embed" ProgID="Equation.3" ShapeID="_x0000_i1058" DrawAspect="Content" ObjectID="_1617770108" r:id="rId73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9. Материал, характеризуемый тензором диэлектрической проницаемости </w:t>
      </w:r>
      <w:r w:rsidR="00B46369" w:rsidRPr="00B46369">
        <w:rPr>
          <w:b/>
          <w:position w:val="-50"/>
          <w:szCs w:val="24"/>
        </w:rPr>
        <w:object w:dxaOrig="1939" w:dyaOrig="1120">
          <v:shape id="_x0000_i1059" type="#_x0000_t75" style="width:82.95pt;height:48.4pt" o:ole="" fillcolor="window">
            <v:imagedata r:id="rId74" o:title=""/>
          </v:shape>
          <o:OLEObject Type="Embed" ProgID="Equation.3" ShapeID="_x0000_i1059" DrawAspect="Content" ObjectID="_1617770109" r:id="rId75"/>
        </w:object>
      </w:r>
      <w:r w:rsidRPr="00B46369">
        <w:rPr>
          <w:b/>
          <w:szCs w:val="24"/>
        </w:rPr>
        <w:t xml:space="preserve">, </w:t>
      </w:r>
      <w:r w:rsidRPr="00B46369">
        <w:rPr>
          <w:szCs w:val="24"/>
        </w:rPr>
        <w:t xml:space="preserve">помещен в однородное электрической поле с напряженностью </w:t>
      </w:r>
      <w:r w:rsidRPr="00B46369">
        <w:rPr>
          <w:position w:val="-4"/>
          <w:szCs w:val="24"/>
        </w:rPr>
        <w:object w:dxaOrig="240" w:dyaOrig="320">
          <v:shape id="_x0000_i1060" type="#_x0000_t75" style="width:12.1pt;height:16.15pt" o:ole="" fillcolor="window">
            <v:imagedata r:id="rId76" o:title=""/>
          </v:shape>
          <o:OLEObject Type="Embed" ProgID="Equation.3" ShapeID="_x0000_i1060" DrawAspect="Content" ObjectID="_1617770110" r:id="rId77"/>
        </w:object>
      </w:r>
      <w:r w:rsidRPr="00B46369">
        <w:rPr>
          <w:szCs w:val="24"/>
        </w:rPr>
        <w:t xml:space="preserve">. Найти тензор диэлектрической восприимчивости </w:t>
      </w:r>
      <w:r w:rsidRPr="00B46369">
        <w:rPr>
          <w:position w:val="-14"/>
          <w:szCs w:val="24"/>
        </w:rPr>
        <w:object w:dxaOrig="320" w:dyaOrig="380">
          <v:shape id="_x0000_i1061" type="#_x0000_t75" style="width:16.15pt;height:18.45pt" o:ole="" fillcolor="window">
            <v:imagedata r:id="rId78" o:title=""/>
          </v:shape>
          <o:OLEObject Type="Embed" ProgID="Equation.3" ShapeID="_x0000_i1061" DrawAspect="Content" ObjectID="_1617770111" r:id="rId79"/>
        </w:object>
      </w:r>
      <w:r w:rsidRPr="00B46369">
        <w:rPr>
          <w:szCs w:val="24"/>
        </w:rPr>
        <w:t xml:space="preserve"> диэлектрика (</w:t>
      </w:r>
      <w:r w:rsidR="00B46369" w:rsidRPr="00B46369">
        <w:rPr>
          <w:position w:val="-10"/>
          <w:szCs w:val="24"/>
        </w:rPr>
        <w:object w:dxaOrig="1700" w:dyaOrig="340">
          <v:shape id="_x0000_i1062" type="#_x0000_t75" style="width:85.25pt;height:17.3pt" o:ole="" fillcolor="window">
            <v:imagedata r:id="rId80" o:title=""/>
          </v:shape>
          <o:OLEObject Type="Embed" ProgID="Equation.3" ShapeID="_x0000_i1062" DrawAspect="Content" ObjectID="_1617770112" r:id="rId81"/>
        </w:object>
      </w:r>
      <w:r w:rsidRPr="00B46369">
        <w:rPr>
          <w:szCs w:val="24"/>
        </w:rPr>
        <w:t xml:space="preserve">). Найти вектор поляризации диэлектрика </w:t>
      </w:r>
      <w:r w:rsidRPr="00B46369">
        <w:rPr>
          <w:position w:val="-4"/>
          <w:szCs w:val="24"/>
        </w:rPr>
        <w:object w:dxaOrig="240" w:dyaOrig="320">
          <v:shape id="_x0000_i1063" type="#_x0000_t75" style="width:12.1pt;height:16.15pt" o:ole="" fillcolor="window">
            <v:imagedata r:id="rId82" o:title=""/>
          </v:shape>
          <o:OLEObject Type="Embed" ProgID="Equation.3" ShapeID="_x0000_i1063" DrawAspect="Content" ObjectID="_1617770113" r:id="rId83"/>
        </w:object>
      </w:r>
      <w:r w:rsidRPr="00B46369">
        <w:rPr>
          <w:szCs w:val="24"/>
        </w:rPr>
        <w:t xml:space="preserve"> и вектор электрической индукции </w:t>
      </w:r>
      <w:r w:rsidR="00B46369" w:rsidRPr="00B46369">
        <w:rPr>
          <w:position w:val="-4"/>
          <w:szCs w:val="24"/>
        </w:rPr>
        <w:object w:dxaOrig="260" w:dyaOrig="320">
          <v:shape id="_x0000_i1064" type="#_x0000_t75" style="width:13.25pt;height:16.15pt" o:ole="" fillcolor="window">
            <v:imagedata r:id="rId84" o:title=""/>
          </v:shape>
          <o:OLEObject Type="Embed" ProgID="Equation.3" ShapeID="_x0000_i1064" DrawAspect="Content" ObjectID="_1617770114" r:id="rId85"/>
        </w:object>
      </w:r>
      <w:r w:rsidRPr="00B46369">
        <w:rPr>
          <w:szCs w:val="24"/>
        </w:rPr>
        <w:t xml:space="preserve"> (</w:t>
      </w:r>
      <w:r w:rsidR="00B46369" w:rsidRPr="00B46369">
        <w:rPr>
          <w:position w:val="-10"/>
          <w:szCs w:val="24"/>
        </w:rPr>
        <w:object w:dxaOrig="1100" w:dyaOrig="340">
          <v:shape id="_x0000_i1065" type="#_x0000_t75" style="width:55.3pt;height:17.3pt" o:ole="" fillcolor="window">
            <v:imagedata r:id="rId86" o:title=""/>
          </v:shape>
          <o:OLEObject Type="Embed" ProgID="Equation.3" ShapeID="_x0000_i1065" DrawAspect="Content" ObjectID="_1617770115" r:id="rId87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20" w:dyaOrig="340">
          <v:shape id="_x0000_i1066" type="#_x0000_t75" style="width:55.85pt;height:17.3pt" o:ole="" fillcolor="window">
            <v:imagedata r:id="rId88" o:title=""/>
          </v:shape>
          <o:OLEObject Type="Embed" ProgID="Equation.3" ShapeID="_x0000_i1066" DrawAspect="Content" ObjectID="_1617770116" r:id="rId89"/>
        </w:object>
      </w:r>
      <w:r w:rsidRPr="00B46369">
        <w:rPr>
          <w:szCs w:val="24"/>
        </w:rPr>
        <w:t xml:space="preserve">). </w:t>
      </w:r>
      <w:r w:rsidRPr="00B46369">
        <w:rPr>
          <w:szCs w:val="24"/>
        </w:rPr>
        <w:lastRenderedPageBreak/>
        <w:t xml:space="preserve">Найти углы, которые векторы </w:t>
      </w:r>
      <w:r w:rsidRPr="00B46369">
        <w:rPr>
          <w:position w:val="-4"/>
          <w:szCs w:val="24"/>
        </w:rPr>
        <w:object w:dxaOrig="240" w:dyaOrig="320">
          <v:shape id="_x0000_i1067" type="#_x0000_t75" style="width:12.1pt;height:16.15pt" o:ole="" fillcolor="window">
            <v:imagedata r:id="rId90" o:title=""/>
          </v:shape>
          <o:OLEObject Type="Embed" ProgID="Equation.3" ShapeID="_x0000_i1067" DrawAspect="Content" ObjectID="_1617770117" r:id="rId91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4"/>
          <w:szCs w:val="24"/>
        </w:rPr>
        <w:object w:dxaOrig="260" w:dyaOrig="320">
          <v:shape id="_x0000_i1068" type="#_x0000_t75" style="width:13.25pt;height:16.15pt" o:ole="" fillcolor="window">
            <v:imagedata r:id="rId92" o:title=""/>
          </v:shape>
          <o:OLEObject Type="Embed" ProgID="Equation.3" ShapeID="_x0000_i1068" DrawAspect="Content" ObjectID="_1617770118" r:id="rId93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69" type="#_x0000_t75" style="width:12.1pt;height:16.15pt" o:ole="" fillcolor="window">
            <v:imagedata r:id="rId94" o:title=""/>
          </v:shape>
          <o:OLEObject Type="Embed" ProgID="Equation.3" ShapeID="_x0000_i1069" DrawAspect="Content" ObjectID="_1617770119" r:id="rId95"/>
        </w:object>
      </w:r>
      <w:r w:rsidRPr="00B46369">
        <w:rPr>
          <w:szCs w:val="24"/>
        </w:rPr>
        <w:t xml:space="preserve">образуют друг с другом, а также указать направления, для которых векторы </w:t>
      </w:r>
      <w:r w:rsidRPr="00B46369">
        <w:rPr>
          <w:position w:val="-4"/>
          <w:szCs w:val="24"/>
        </w:rPr>
        <w:object w:dxaOrig="260" w:dyaOrig="320">
          <v:shape id="_x0000_i1070" type="#_x0000_t75" style="width:13.25pt;height:16.15pt" o:ole="" fillcolor="window">
            <v:imagedata r:id="rId96" o:title=""/>
          </v:shape>
          <o:OLEObject Type="Embed" ProgID="Equation.3" ShapeID="_x0000_i1070" DrawAspect="Content" ObjectID="_1617770120" r:id="rId97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71" type="#_x0000_t75" style="width:12.1pt;height:16.15pt" o:ole="" fillcolor="window">
            <v:imagedata r:id="rId98" o:title=""/>
          </v:shape>
          <o:OLEObject Type="Embed" ProgID="Equation.3" ShapeID="_x0000_i1071" DrawAspect="Content" ObjectID="_1617770121" r:id="rId99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коллинеарны</w:t>
      </w:r>
      <w:proofErr w:type="spellEnd"/>
      <w:r w:rsidRPr="00B46369">
        <w:rPr>
          <w:szCs w:val="24"/>
        </w:rPr>
        <w:t>:</w:t>
      </w:r>
    </w:p>
    <w:tbl>
      <w:tblPr>
        <w:tblW w:w="0" w:type="auto"/>
        <w:tblInd w:w="1384" w:type="dxa"/>
        <w:tblLayout w:type="fixed"/>
        <w:tblLook w:val="0000"/>
      </w:tblPr>
      <w:tblGrid>
        <w:gridCol w:w="3544"/>
        <w:gridCol w:w="3330"/>
      </w:tblGrid>
      <w:tr w:rsidR="006C0343" w:rsidRPr="00B46369" w:rsidTr="00276968">
        <w:tc>
          <w:tcPr>
            <w:tcW w:w="3544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2" type="#_x0000_t75" style="width:82.95pt;height:20.15pt" o:ole="" fillcolor="window">
                  <v:imagedata r:id="rId100" o:title=""/>
                </v:shape>
                <o:OLEObject Type="Embed" ProgID="Equation.3" ShapeID="_x0000_i1072" DrawAspect="Content" ObjectID="_1617770122" r:id="rId10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30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3" type="#_x0000_t75" style="width:82.95pt;height:20.15pt" o:ole="" fillcolor="window">
                  <v:imagedata r:id="rId102" o:title=""/>
                </v:shape>
                <o:OLEObject Type="Embed" ProgID="Equation.3" ShapeID="_x0000_i1073" DrawAspect="Content" ObjectID="_1617770123" r:id="rId10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10. В некоторой системе координат известны компоненты тензора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ранга: </w:t>
      </w:r>
      <w:r w:rsidR="00B46369" w:rsidRPr="00B46369">
        <w:rPr>
          <w:b/>
          <w:position w:val="-50"/>
          <w:szCs w:val="24"/>
        </w:rPr>
        <w:object w:dxaOrig="1700" w:dyaOrig="1120">
          <v:shape id="_x0000_i1074" type="#_x0000_t75" style="width:70.85pt;height:47.25pt" o:ole="" fillcolor="window">
            <v:imagedata r:id="rId104" o:title=""/>
          </v:shape>
          <o:OLEObject Type="Embed" ProgID="Equation.3" ShapeID="_x0000_i1074" DrawAspect="Content" ObjectID="_1617770124" r:id="rId105"/>
        </w:object>
      </w:r>
      <w:r w:rsidRPr="00B46369">
        <w:rPr>
          <w:b/>
          <w:szCs w:val="24"/>
        </w:rPr>
        <w:t xml:space="preserve">. </w:t>
      </w:r>
      <w:r w:rsidRPr="00B46369">
        <w:rPr>
          <w:szCs w:val="24"/>
        </w:rPr>
        <w:t xml:space="preserve">Разложить его на симметричную </w:t>
      </w:r>
      <w:r w:rsidR="00B46369" w:rsidRPr="00B46369">
        <w:rPr>
          <w:position w:val="-14"/>
          <w:szCs w:val="24"/>
        </w:rPr>
        <w:object w:dxaOrig="279" w:dyaOrig="380">
          <v:shape id="_x0000_i1075" type="#_x0000_t75" style="width:13.8pt;height:18.45pt" o:ole="" fillcolor="window">
            <v:imagedata r:id="rId106" o:title=""/>
          </v:shape>
          <o:OLEObject Type="Embed" ProgID="Equation.3" ShapeID="_x0000_i1075" DrawAspect="Content" ObjectID="_1617770125" r:id="rId107"/>
        </w:object>
      </w:r>
      <w:r w:rsidRPr="00B46369">
        <w:rPr>
          <w:szCs w:val="24"/>
        </w:rPr>
        <w:t xml:space="preserve"> и </w:t>
      </w:r>
      <w:r w:rsidR="00B46369" w:rsidRPr="00B46369">
        <w:rPr>
          <w:position w:val="-14"/>
          <w:szCs w:val="24"/>
        </w:rPr>
        <w:object w:dxaOrig="360" w:dyaOrig="380">
          <v:shape id="_x0000_i1076" type="#_x0000_t75" style="width:18.45pt;height:18.45pt" o:ole="" fillcolor="window">
            <v:imagedata r:id="rId108" o:title=""/>
          </v:shape>
          <o:OLEObject Type="Embed" ProgID="Equation.3" ShapeID="_x0000_i1076" DrawAspect="Content" ObjectID="_1617770126" r:id="rId109"/>
        </w:object>
      </w:r>
      <w:r w:rsidRPr="00B46369">
        <w:rPr>
          <w:szCs w:val="24"/>
        </w:rPr>
        <w:t xml:space="preserve"> антисимметричную составляющие. Найти </w:t>
      </w:r>
      <w:r w:rsidR="00B46369" w:rsidRPr="00B46369">
        <w:rPr>
          <w:position w:val="-14"/>
          <w:szCs w:val="24"/>
        </w:rPr>
        <w:object w:dxaOrig="1140" w:dyaOrig="380">
          <v:shape id="_x0000_i1077" type="#_x0000_t75" style="width:48.95pt;height:16.15pt" o:ole="" fillcolor="window">
            <v:imagedata r:id="rId110" o:title=""/>
          </v:shape>
          <o:OLEObject Type="Embed" ProgID="Equation.3" ShapeID="_x0000_i1077" DrawAspect="Content" ObjectID="_1617770127" r:id="rId11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11. Найти градиент скалярной функции </w:t>
      </w:r>
      <w:r w:rsidRPr="00B46369">
        <w:rPr>
          <w:position w:val="-10"/>
          <w:szCs w:val="24"/>
        </w:rPr>
        <w:object w:dxaOrig="220" w:dyaOrig="260">
          <v:shape id="_x0000_i1078" type="#_x0000_t75" style="width:10.95pt;height:13.25pt" o:ole="" fillcolor="window">
            <v:imagedata r:id="rId112" o:title=""/>
          </v:shape>
          <o:OLEObject Type="Embed" ProgID="Equation.3" ShapeID="_x0000_i1078" DrawAspect="Content" ObjectID="_1617770128" r:id="rId113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60">
                <v:shape id="_x0000_i1079" type="#_x0000_t75" style="width:39.75pt;height:27.65pt" o:ole="" fillcolor="window">
                  <v:imagedata r:id="rId114" o:title=""/>
                </v:shape>
                <o:OLEObject Type="Embed" ProgID="Equation.3" ShapeID="_x0000_i1079" DrawAspect="Content" ObjectID="_1617770129" r:id="rId11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в).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1020" w:dyaOrig="560">
                <v:shape id="_x0000_i1080" type="#_x0000_t75" style="width:51.25pt;height:27.65pt" o:ole="" fillcolor="window">
                  <v:imagedata r:id="rId116" o:title=""/>
                </v:shape>
                <o:OLEObject Type="Embed" ProgID="Equation.3" ShapeID="_x0000_i1080" DrawAspect="Content" ObjectID="_1617770130" r:id="rId117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д).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20">
                <v:shape id="_x0000_i1081" type="#_x0000_t75" style="width:39.75pt;height:26.5pt" o:ole="" fillcolor="window">
                  <v:imagedata r:id="rId118" o:title=""/>
                </v:shape>
                <o:OLEObject Type="Embed" ProgID="Equation.3" ShapeID="_x0000_i1081" DrawAspect="Content" ObjectID="_1617770131" r:id="rId11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40">
                <v:shape id="_x0000_i1082" type="#_x0000_t75" style="width:53pt;height:17.3pt" o:ole="" fillcolor="window">
                  <v:imagedata r:id="rId120" o:title=""/>
                </v:shape>
                <o:OLEObject Type="Embed" ProgID="Equation.3" ShapeID="_x0000_i1082" DrawAspect="Content" ObjectID="_1617770132" r:id="rId12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г).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0" w:dyaOrig="340">
                <v:shape id="_x0000_i1083" type="#_x0000_t75" style="width:89.85pt;height:17.3pt" o:ole="" fillcolor="window">
                  <v:imagedata r:id="rId122" o:title=""/>
                </v:shape>
                <o:OLEObject Type="Embed" ProgID="Equation.3" ShapeID="_x0000_i1083" DrawAspect="Content" ObjectID="_1617770133" r:id="rId123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4" type="#_x0000_t75" style="width:66.25pt;height:17.3pt" o:ole="" fillcolor="window">
                  <v:imagedata r:id="rId124" o:title=""/>
                </v:shape>
                <o:OLEObject Type="Embed" ProgID="Equation.3" ShapeID="_x0000_i1084" DrawAspect="Content" ObjectID="_1617770134" r:id="rId125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12. Найти дивергенцию и ротор векторного поля </w:t>
      </w:r>
      <w:r w:rsidRPr="00B46369">
        <w:rPr>
          <w:position w:val="-4"/>
          <w:szCs w:val="24"/>
        </w:rPr>
        <w:object w:dxaOrig="220" w:dyaOrig="279">
          <v:shape id="_x0000_i1085" type="#_x0000_t75" style="width:11.5pt;height:14.4pt" o:ole="" fillcolor="window">
            <v:imagedata r:id="rId126" o:title=""/>
          </v:shape>
          <o:OLEObject Type="Embed" ProgID="Equation.3" ShapeID="_x0000_i1085" DrawAspect="Content" ObjectID="_1617770135" r:id="rId127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900" w:dyaOrig="320">
                <v:shape id="_x0000_i1086" type="#_x0000_t75" style="width:44.95pt;height:15.55pt" o:ole="" fillcolor="window">
                  <v:imagedata r:id="rId128" o:title=""/>
                </v:shape>
                <o:OLEObject Type="Embed" ProgID="Equation.3" ShapeID="_x0000_i1086" DrawAspect="Content" ObjectID="_1617770136" r:id="rId12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д).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60" w:dyaOrig="520">
                <v:shape id="_x0000_i1087" type="#_x0000_t75" style="width:47.8pt;height:26.5pt" o:ole="" fillcolor="window">
                  <v:imagedata r:id="rId130" o:title=""/>
                </v:shape>
                <o:OLEObject Type="Embed" ProgID="Equation.3" ShapeID="_x0000_i1087" DrawAspect="Content" ObjectID="_1617770137" r:id="rId13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з). </w:t>
            </w:r>
            <w:r w:rsidRPr="00B4636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20" w:dyaOrig="580">
                <v:shape id="_x0000_i1088" type="#_x0000_t75" style="width:51.25pt;height:29.4pt" o:ole="" fillcolor="window">
                  <v:imagedata r:id="rId132" o:title=""/>
                </v:shape>
                <o:OLEObject Type="Embed" ProgID="Equation.3" ShapeID="_x0000_i1088" DrawAspect="Content" ObjectID="_1617770138" r:id="rId13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9" type="#_x0000_t75" style="width:66.25pt;height:17.3pt" o:ole="" fillcolor="window">
                  <v:imagedata r:id="rId134" o:title=""/>
                </v:shape>
                <o:OLEObject Type="Embed" ProgID="Equation.3" ShapeID="_x0000_i1089" DrawAspect="Content" ObjectID="_1617770139" r:id="rId13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1359" w:dyaOrig="320">
                <v:shape id="_x0000_i1090" type="#_x0000_t75" style="width:67.95pt;height:15.55pt" o:ole="" fillcolor="window">
                  <v:imagedata r:id="rId136" o:title=""/>
                </v:shape>
                <o:OLEObject Type="Embed" ProgID="Equation.3" ShapeID="_x0000_i1090" DrawAspect="Content" ObjectID="_1617770140" r:id="rId137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и).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20" w:dyaOrig="520">
                <v:shape id="_x0000_i1091" type="#_x0000_t75" style="width:45.5pt;height:26.5pt" o:ole="" fillcolor="window">
                  <v:imagedata r:id="rId138" o:title=""/>
                </v:shape>
                <o:OLEObject Type="Embed" ProgID="Equation.3" ShapeID="_x0000_i1091" DrawAspect="Content" ObjectID="_1617770141" r:id="rId139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13. Доказать тождество: </w:t>
      </w:r>
      <w:r w:rsidRPr="00B46369">
        <w:rPr>
          <w:position w:val="-10"/>
          <w:szCs w:val="24"/>
        </w:rPr>
        <w:object w:dxaOrig="5600" w:dyaOrig="380">
          <v:shape id="_x0000_i1092" type="#_x0000_t75" style="width:279.95pt;height:19.6pt" o:ole="" fillcolor="window">
            <v:imagedata r:id="rId140" o:title=""/>
          </v:shape>
          <o:OLEObject Type="Embed" ProgID="Equation.3" ShapeID="_x0000_i1092" DrawAspect="Content" ObjectID="_1617770142" r:id="rId141"/>
        </w:object>
      </w:r>
      <w:r w:rsidRPr="00B46369">
        <w:rPr>
          <w:szCs w:val="24"/>
        </w:rPr>
        <w:t>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B46369">
      <w:pPr>
        <w:pStyle w:val="a7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b/>
          <w:szCs w:val="24"/>
        </w:rPr>
        <w:t>7. Учебно-методическое и информационное обеспечение дисциплины</w:t>
      </w: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а) </w:t>
      </w:r>
      <w:r w:rsidRPr="00B46369">
        <w:rPr>
          <w:szCs w:val="24"/>
          <w:u w:val="single"/>
        </w:rPr>
        <w:t>основная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Г.М. Максимова, А.И. Малышев, А.В. Тележников, Основы векторного и тензорного анализа для физиков: учебно-методическое пособие, Н.Новгород, изд-во ННГУ, 2017, 109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</w:t>
      </w:r>
      <w:r w:rsidR="00B46369" w:rsidRPr="00B46369">
        <w:rPr>
          <w:szCs w:val="24"/>
        </w:rPr>
        <w:t xml:space="preserve"> </w:t>
      </w:r>
      <w:r w:rsidRPr="00B46369">
        <w:rPr>
          <w:szCs w:val="24"/>
        </w:rPr>
        <w:t>http://www.unn.ru/books/met_files/VTA_Malyshev.doc.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И.Э. </w:t>
      </w:r>
      <w:proofErr w:type="spellStart"/>
      <w:r w:rsidRPr="00B46369">
        <w:rPr>
          <w:szCs w:val="24"/>
        </w:rPr>
        <w:t>Келлер</w:t>
      </w:r>
      <w:proofErr w:type="spellEnd"/>
      <w:r w:rsidRPr="00B46369">
        <w:rPr>
          <w:szCs w:val="24"/>
        </w:rPr>
        <w:t>, Тензорное исчисление: учеб. Пособие, Санкт-Петербург, Лань, 2012, 176 с. https://e.lanbook.com/book/3814.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В.В. </w:t>
      </w:r>
      <w:proofErr w:type="spellStart"/>
      <w:r w:rsidRPr="00B46369">
        <w:rPr>
          <w:szCs w:val="24"/>
        </w:rPr>
        <w:t>Батыгин</w:t>
      </w:r>
      <w:proofErr w:type="spellEnd"/>
      <w:r w:rsidRPr="00B46369">
        <w:rPr>
          <w:szCs w:val="24"/>
        </w:rPr>
        <w:t xml:space="preserve">, И.Н. Топтыгин, Сборник задач по электродинамике и специальной теории относительности: учебное пособие, СПб.: Лань, 2010, 480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 https://e.lanbook.com/book/544.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б) </w:t>
      </w:r>
      <w:r w:rsidRPr="00B46369">
        <w:rPr>
          <w:szCs w:val="24"/>
          <w:u w:val="single"/>
        </w:rPr>
        <w:t>дополнительная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А.И. Борисенко, И.Е. </w:t>
      </w:r>
      <w:proofErr w:type="spellStart"/>
      <w:r w:rsidRPr="00B46369">
        <w:rPr>
          <w:rFonts w:ascii="Times New Roman" w:hAnsi="Times New Roman"/>
          <w:sz w:val="24"/>
          <w:szCs w:val="24"/>
        </w:rPr>
        <w:t>Тарапов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Векторный анализ и начало тензорного исчисления, М., Высшая школа, 1966, 252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12 экз.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B46369">
        <w:rPr>
          <w:rFonts w:ascii="Times New Roman" w:hAnsi="Times New Roman"/>
          <w:sz w:val="24"/>
          <w:szCs w:val="24"/>
        </w:rPr>
        <w:t>Левич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Курс теоретической физики, М., Наука, 1969, 910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30 экз.</w:t>
      </w:r>
    </w:p>
    <w:p w:rsidR="006C0343" w:rsidRPr="00B46369" w:rsidRDefault="003760CD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42" w:history="1">
        <w:r w:rsidR="006C0343" w:rsidRPr="00B46369">
          <w:rPr>
            <w:rFonts w:ascii="Times New Roman" w:hAnsi="Times New Roman"/>
            <w:sz w:val="24"/>
            <w:szCs w:val="24"/>
          </w:rPr>
          <w:t xml:space="preserve">Б.М. </w:t>
        </w:r>
        <w:proofErr w:type="spellStart"/>
        <w:r w:rsidR="006C0343" w:rsidRPr="00B46369">
          <w:rPr>
            <w:rFonts w:ascii="Times New Roman" w:hAnsi="Times New Roman"/>
            <w:sz w:val="24"/>
            <w:szCs w:val="24"/>
          </w:rPr>
          <w:t>Будак</w:t>
        </w:r>
        <w:proofErr w:type="spellEnd"/>
        <w:r w:rsidR="006C0343" w:rsidRPr="00B46369">
          <w:rPr>
            <w:rFonts w:ascii="Times New Roman" w:hAnsi="Times New Roman"/>
            <w:sz w:val="24"/>
            <w:szCs w:val="24"/>
          </w:rPr>
          <w:t xml:space="preserve">, С.В. Фомин, Кратные интегралы и ряды, М., Наука, 1967, </w:t>
        </w:r>
        <w:r w:rsidR="006C0343" w:rsidRPr="00B46369">
          <w:rPr>
            <w:rStyle w:val="a3"/>
            <w:bCs/>
            <w:sz w:val="24"/>
            <w:szCs w:val="24"/>
          </w:rPr>
          <w:t>607 с.</w:t>
        </w:r>
      </w:hyperlink>
      <w:r w:rsidR="006C0343" w:rsidRPr="00B46369">
        <w:rPr>
          <w:rFonts w:ascii="Times New Roman" w:hAnsi="Times New Roman"/>
          <w:sz w:val="24"/>
          <w:szCs w:val="24"/>
        </w:rPr>
        <w:t xml:space="preserve"> Фонд Фундаментальной библиотеки ННГУ, 18 экз.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 xml:space="preserve">в) </w:t>
      </w:r>
      <w:r w:rsidRPr="00B46369">
        <w:rPr>
          <w:szCs w:val="24"/>
          <w:u w:val="single"/>
        </w:rPr>
        <w:t>программное обеспечение и Интернет-ресурсы</w:t>
      </w:r>
      <w:r w:rsidRPr="00B46369">
        <w:rPr>
          <w:szCs w:val="24"/>
        </w:rPr>
        <w:t>:</w:t>
      </w:r>
    </w:p>
    <w:p w:rsidR="006C0343" w:rsidRPr="00B46369" w:rsidRDefault="006C0343" w:rsidP="006C0343">
      <w:pPr>
        <w:ind w:left="567" w:hanging="283"/>
        <w:contextualSpacing/>
        <w:rPr>
          <w:szCs w:val="24"/>
        </w:rPr>
      </w:pPr>
      <w:r w:rsidRPr="00B46369">
        <w:rPr>
          <w:szCs w:val="24"/>
        </w:rPr>
        <w:t>Интернет-ресурсы Фундаментальной библиотеки ННГУ http://www.lib.unn.ru/.</w:t>
      </w:r>
    </w:p>
    <w:p w:rsidR="006C0343" w:rsidRPr="00B46369" w:rsidRDefault="006C0343" w:rsidP="006C0343">
      <w:pPr>
        <w:rPr>
          <w:szCs w:val="24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B46369" w:rsidRDefault="006C0343" w:rsidP="006C0343">
      <w:pPr>
        <w:rPr>
          <w:b/>
          <w:szCs w:val="24"/>
        </w:rPr>
      </w:pPr>
      <w:r w:rsidRPr="00B46369">
        <w:rPr>
          <w:b/>
          <w:szCs w:val="24"/>
        </w:rPr>
        <w:lastRenderedPageBreak/>
        <w:t>8. Материально-техническое обеспечение дисциплины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B46369">
        <w:t>Программа составлена в соответствии с требованиями ФГОС ВО по направлению подготовки 03.03.02 Физика.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Автор: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к. ф.-м. н., старший преподаватель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кафедры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</w:t>
      </w:r>
      <w:r w:rsidRPr="00B46369">
        <w:rPr>
          <w:szCs w:val="24"/>
        </w:rPr>
        <w:tab/>
        <w:t xml:space="preserve">         __________________ / Тележников А.В. /</w:t>
      </w:r>
    </w:p>
    <w:p w:rsidR="006C0343" w:rsidRDefault="006C0343" w:rsidP="006C0343">
      <w:pPr>
        <w:contextualSpacing/>
        <w:rPr>
          <w:szCs w:val="24"/>
        </w:rPr>
      </w:pPr>
    </w:p>
    <w:p w:rsidR="00941CF3" w:rsidRPr="00B46369" w:rsidRDefault="00941CF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И.о. зав. кафедрой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6C0343" w:rsidRPr="00B46369" w:rsidRDefault="006C0343" w:rsidP="006C034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>Рецензент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941CF3" w:rsidRDefault="00941CF3" w:rsidP="00941CF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>Программа одобрена на заседании Учебно-методической комиссии физического факультета ННГУ от 7 июня 2018 года, протокол № б/н</w:t>
      </w:r>
    </w:p>
    <w:p w:rsidR="00941CF3" w:rsidRDefault="00941CF3" w:rsidP="00941CF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>Председатель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6C0343" w:rsidRPr="00B46369" w:rsidRDefault="006C0343" w:rsidP="00941CF3">
      <w:pPr>
        <w:rPr>
          <w:szCs w:val="24"/>
        </w:rPr>
      </w:pPr>
    </w:p>
    <w:sectPr w:rsidR="006C0343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32C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7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2CAE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0CD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85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77DD8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3B7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5F21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CF3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7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4BD2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hyperlink" Target="http://www.lib.unn.ru/php/details.php?DocId=30239&amp;DB=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052BC2-2643-40EF-942B-2B70D9F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9</cp:revision>
  <dcterms:created xsi:type="dcterms:W3CDTF">2018-04-03T04:34:00Z</dcterms:created>
  <dcterms:modified xsi:type="dcterms:W3CDTF">2019-04-26T04:46:00Z</dcterms:modified>
</cp:coreProperties>
</file>