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F02B4" w:rsidRPr="0094493A" w:rsidRDefault="006F02B4" w:rsidP="006F02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6F02B4" w:rsidRPr="0094493A" w:rsidRDefault="006F02B4" w:rsidP="006F02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F02B4" w:rsidRPr="0094493A" w:rsidRDefault="006F02B4" w:rsidP="006F02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6F02B4" w:rsidRPr="0094493A" w:rsidRDefault="006F02B4" w:rsidP="006F02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C150A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Динамика и устойчивость упругих механических систем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9F2D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</w:t>
            </w:r>
            <w:r w:rsidR="009F2D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F2D44">
              <w:rPr>
                <w:rFonts w:ascii="Times New Roman" w:eastAsia="Calibri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9F2D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моделирование и </w:t>
            </w:r>
            <w:r w:rsidR="009F2D44">
              <w:rPr>
                <w:rFonts w:ascii="Times New Roman" w:eastAsia="Calibri" w:hAnsi="Times New Roman"/>
                <w:sz w:val="24"/>
                <w:szCs w:val="24"/>
              </w:rPr>
              <w:t>вычислительная математика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0931AA">
        <w:rPr>
          <w:rFonts w:ascii="Times New Roman" w:hAnsi="Times New Roman"/>
          <w:sz w:val="24"/>
          <w:szCs w:val="24"/>
          <w:u w:val="single"/>
        </w:rPr>
        <w:t>21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466F16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4E0549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66F16" w:rsidRDefault="004D67FE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7FE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eastAsia="Calibri" w:hAnsi="Times New Roman"/>
          <w:sz w:val="24"/>
          <w:szCs w:val="24"/>
        </w:rPr>
        <w:t>Динамика и устойчивость упругих механических систем</w:t>
      </w:r>
      <w:r w:rsidRPr="004D67FE">
        <w:rPr>
          <w:rFonts w:ascii="Times New Roman" w:hAnsi="Times New Roman"/>
          <w:sz w:val="24"/>
          <w:szCs w:val="24"/>
        </w:rPr>
        <w:t xml:space="preserve">» (код </w:t>
      </w:r>
      <w:r w:rsidRPr="006D7B6C">
        <w:rPr>
          <w:rFonts w:ascii="Times New Roman" w:hAnsi="Times New Roman"/>
          <w:sz w:val="24"/>
          <w:szCs w:val="24"/>
        </w:rPr>
        <w:t>Б</w:t>
      </w:r>
      <w:proofErr w:type="gramStart"/>
      <w:r w:rsidRPr="006D7B6C">
        <w:rPr>
          <w:rFonts w:ascii="Times New Roman" w:hAnsi="Times New Roman"/>
          <w:sz w:val="24"/>
          <w:szCs w:val="24"/>
        </w:rPr>
        <w:t>1</w:t>
      </w:r>
      <w:proofErr w:type="gramEnd"/>
      <w:r w:rsidRPr="006D7B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В.0</w:t>
      </w:r>
      <w:r w:rsidR="00466F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</w:t>
      </w:r>
      <w:r w:rsidRPr="004D67FE">
        <w:rPr>
          <w:rFonts w:ascii="Times New Roman" w:hAnsi="Times New Roman"/>
          <w:sz w:val="24"/>
          <w:szCs w:val="24"/>
        </w:rPr>
        <w:t xml:space="preserve">) относится </w:t>
      </w:r>
      <w:r w:rsidRPr="009F2D44">
        <w:rPr>
          <w:rFonts w:ascii="Times New Roman" w:hAnsi="Times New Roman"/>
          <w:sz w:val="24"/>
          <w:szCs w:val="24"/>
        </w:rPr>
        <w:t xml:space="preserve">к </w:t>
      </w:r>
      <w:r w:rsidR="00466F16">
        <w:rPr>
          <w:rFonts w:ascii="Times New Roman" w:hAnsi="Times New Roman"/>
          <w:sz w:val="24"/>
          <w:szCs w:val="24"/>
        </w:rPr>
        <w:t>вариативной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66F16">
        <w:rPr>
          <w:rFonts w:ascii="Times New Roman" w:hAnsi="Times New Roman"/>
          <w:sz w:val="24"/>
          <w:szCs w:val="24"/>
        </w:rPr>
        <w:t>части Блока Б1</w:t>
      </w:r>
    </w:p>
    <w:p w:rsidR="004B76EF" w:rsidRDefault="004D67FE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67FE"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DC221F" w:rsidRPr="002E6B11" w:rsidTr="001A2571">
        <w:tc>
          <w:tcPr>
            <w:tcW w:w="959" w:type="dxa"/>
            <w:shd w:val="clear" w:color="auto" w:fill="auto"/>
          </w:tcPr>
          <w:p w:rsidR="00DC221F" w:rsidRPr="002E6B11" w:rsidRDefault="00DC221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DC221F" w:rsidRPr="002E6B11" w:rsidRDefault="00DC221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DC221F" w:rsidRPr="002E6B11" w:rsidRDefault="00DC221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DC221F" w:rsidRPr="002E6B11" w:rsidTr="001A2571">
        <w:tc>
          <w:tcPr>
            <w:tcW w:w="959" w:type="dxa"/>
            <w:shd w:val="clear" w:color="auto" w:fill="auto"/>
          </w:tcPr>
          <w:p w:rsidR="00DC221F" w:rsidRPr="002E6B11" w:rsidRDefault="00DC221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C221F" w:rsidRPr="002E6B11" w:rsidRDefault="00DC221F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DC221F" w:rsidRPr="002E6B11" w:rsidRDefault="00DC221F" w:rsidP="00466F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466F16" w:rsidRPr="006D7B6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466F16" w:rsidRPr="006D7B6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66F16"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 w:rsidR="00466F16">
              <w:rPr>
                <w:rFonts w:ascii="Times New Roman" w:hAnsi="Times New Roman"/>
                <w:sz w:val="24"/>
                <w:szCs w:val="24"/>
              </w:rPr>
              <w:t>В.0</w:t>
            </w:r>
            <w:r w:rsidR="00466F16">
              <w:rPr>
                <w:rFonts w:ascii="Times New Roman" w:hAnsi="Times New Roman"/>
                <w:sz w:val="24"/>
                <w:szCs w:val="24"/>
              </w:rPr>
              <w:t>7</w:t>
            </w:r>
            <w:r w:rsidR="00466F16">
              <w:rPr>
                <w:rFonts w:ascii="Times New Roman" w:hAnsi="Times New Roman"/>
                <w:sz w:val="24"/>
                <w:szCs w:val="24"/>
              </w:rPr>
              <w:t>.02</w:t>
            </w:r>
            <w:r w:rsidR="00466F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66F16">
              <w:rPr>
                <w:rFonts w:ascii="Times New Roman" w:eastAsia="Calibri" w:hAnsi="Times New Roman"/>
                <w:sz w:val="24"/>
                <w:szCs w:val="24"/>
              </w:rPr>
              <w:t>Динамика и устойчивость упругих механических систем</w:t>
            </w:r>
            <w:r w:rsidR="00466F16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466F16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части ОПОП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DC221F" w:rsidRPr="006D7B6C" w:rsidRDefault="00DC221F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120"/>
        <w:gridCol w:w="3513"/>
        <w:gridCol w:w="1728"/>
      </w:tblGrid>
      <w:tr w:rsidR="00B26C74" w:rsidRPr="00892139" w:rsidTr="006D7B6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D7B6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11A86" w:rsidRPr="00892139" w:rsidTr="006D7B6C">
        <w:trPr>
          <w:trHeight w:val="508"/>
          <w:jc w:val="center"/>
        </w:trPr>
        <w:tc>
          <w:tcPr>
            <w:tcW w:w="1756" w:type="dxa"/>
            <w:vMerge w:val="restart"/>
          </w:tcPr>
          <w:p w:rsidR="00F11A86" w:rsidRDefault="00F11A86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2</w:t>
            </w:r>
          </w:p>
          <w:p w:rsidR="00F11A86" w:rsidRPr="00F11A86" w:rsidRDefault="00F11A86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F11A86">
              <w:rPr>
                <w:rFonts w:ascii="Times New Roman" w:hAnsi="Times New Roman"/>
              </w:rPr>
              <w:t>Способен</w:t>
            </w:r>
            <w:proofErr w:type="gramEnd"/>
            <w:r w:rsidRPr="00F11A86">
              <w:rPr>
                <w:rFonts w:ascii="Times New Roman" w:hAnsi="Times New Roman"/>
              </w:rPr>
              <w:t xml:space="preserve"> анализировать поставленную задачу, использовать корректные методы её решения, применять математически сложные алгоритмы в современных специализированных программных комплексах, реализовывать в них новые алгоритмы</w:t>
            </w:r>
          </w:p>
        </w:tc>
        <w:tc>
          <w:tcPr>
            <w:tcW w:w="2153" w:type="dxa"/>
          </w:tcPr>
          <w:p w:rsidR="00F11A86" w:rsidRDefault="00F11A86" w:rsidP="000C150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ПК-2.1.</w:t>
            </w:r>
          </w:p>
          <w:p w:rsidR="00F11A86" w:rsidRPr="00F11A86" w:rsidRDefault="00F11A86" w:rsidP="000C150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11A86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F11A86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задач, основы информационных технологий.</w:t>
            </w:r>
          </w:p>
        </w:tc>
        <w:tc>
          <w:tcPr>
            <w:tcW w:w="3925" w:type="dxa"/>
          </w:tcPr>
          <w:p w:rsidR="00F11A86" w:rsidRPr="006D7B6C" w:rsidRDefault="00F11A86" w:rsidP="000C150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Pr="000C150A">
              <w:rPr>
                <w:rFonts w:ascii="Times New Roman" w:hAnsi="Times New Roman"/>
              </w:rPr>
              <w:t xml:space="preserve">основные понятия и правила </w:t>
            </w:r>
            <w:r>
              <w:rPr>
                <w:rFonts w:ascii="Times New Roman" w:hAnsi="Times New Roman"/>
              </w:rPr>
              <w:t>в области распределенных упругих механических систем</w:t>
            </w:r>
            <w:r w:rsidRPr="000C150A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F11A86" w:rsidRPr="00477260" w:rsidRDefault="00F11A86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F11A86" w:rsidRPr="00892139" w:rsidTr="006D7B6C">
        <w:trPr>
          <w:trHeight w:val="523"/>
          <w:jc w:val="center"/>
        </w:trPr>
        <w:tc>
          <w:tcPr>
            <w:tcW w:w="1756" w:type="dxa"/>
            <w:vMerge/>
          </w:tcPr>
          <w:p w:rsidR="00F11A86" w:rsidRPr="00477260" w:rsidRDefault="00F11A86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F11A86" w:rsidRDefault="00F11A86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F11A86" w:rsidRPr="00F11A86" w:rsidRDefault="00F11A86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11A86">
              <w:rPr>
                <w:rFonts w:ascii="Times New Roman" w:hAnsi="Times New Roman"/>
                <w:b/>
                <w:iCs/>
              </w:rPr>
              <w:t>Умеет</w:t>
            </w:r>
            <w:r w:rsidRPr="00F11A86">
              <w:rPr>
                <w:rFonts w:ascii="Times New Roman" w:hAnsi="Times New Roman"/>
                <w:iCs/>
              </w:rPr>
              <w:t xml:space="preserve"> самостоятельно осуществлять анализ и выбор методов и алгоритмов решения задач профессиональной деятельности.</w:t>
            </w:r>
          </w:p>
        </w:tc>
        <w:tc>
          <w:tcPr>
            <w:tcW w:w="3925" w:type="dxa"/>
          </w:tcPr>
          <w:p w:rsidR="00F11A86" w:rsidRPr="006D7B6C" w:rsidRDefault="00F11A86" w:rsidP="000C150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Pr="000C150A">
              <w:rPr>
                <w:rFonts w:ascii="Times New Roman" w:hAnsi="Times New Roman"/>
              </w:rPr>
              <w:t>использовать на практике математический аппарат и современные программные комплексы для описания динамики механических моделей, исследования их на устойчивость</w:t>
            </w:r>
            <w:r w:rsidRPr="000C150A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F11A86" w:rsidRPr="00477260" w:rsidRDefault="00F11A86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 работа, экзамен</w:t>
            </w:r>
          </w:p>
        </w:tc>
      </w:tr>
      <w:tr w:rsidR="00F11A86" w:rsidRPr="00F52D95" w:rsidTr="006D7B6C">
        <w:trPr>
          <w:trHeight w:val="508"/>
          <w:jc w:val="center"/>
        </w:trPr>
        <w:tc>
          <w:tcPr>
            <w:tcW w:w="1756" w:type="dxa"/>
            <w:vMerge/>
          </w:tcPr>
          <w:p w:rsidR="00F11A86" w:rsidRPr="00477260" w:rsidRDefault="00F11A86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F11A86" w:rsidRDefault="00F11A86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ПК-2.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F11A86" w:rsidRPr="00F11A86" w:rsidRDefault="00F11A86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11A86">
              <w:rPr>
                <w:rFonts w:ascii="Times New Roman" w:hAnsi="Times New Roman"/>
                <w:b/>
                <w:iCs/>
              </w:rPr>
              <w:t>Имеет практический опыт</w:t>
            </w:r>
            <w:r w:rsidRPr="00F11A86">
              <w:rPr>
                <w:rFonts w:ascii="Times New Roman" w:hAnsi="Times New Roman"/>
                <w:iCs/>
              </w:rPr>
              <w:t xml:space="preserve"> решения задач в соответствии с выбранным </w:t>
            </w:r>
            <w:r w:rsidRPr="00F11A86">
              <w:rPr>
                <w:rFonts w:ascii="Times New Roman" w:hAnsi="Times New Roman"/>
                <w:iCs/>
              </w:rPr>
              <w:lastRenderedPageBreak/>
              <w:t xml:space="preserve">методом и построенным алгоритмом с использованием </w:t>
            </w:r>
            <w:r w:rsidRPr="00F11A86">
              <w:rPr>
                <w:rFonts w:ascii="Times New Roman" w:hAnsi="Times New Roman"/>
              </w:rPr>
              <w:t>современных программных комплексов</w:t>
            </w:r>
            <w:r w:rsidRPr="00F11A86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25" w:type="dxa"/>
          </w:tcPr>
          <w:p w:rsidR="00F11A86" w:rsidRPr="006D7B6C" w:rsidRDefault="00F11A86" w:rsidP="0038134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lastRenderedPageBreak/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Pr="00381341">
              <w:rPr>
                <w:rFonts w:ascii="Times New Roman" w:hAnsi="Times New Roman"/>
              </w:rPr>
              <w:t xml:space="preserve">использования на практике аппарата современной теории распределенных упругих механических систем для математического и численного моделирования различных </w:t>
            </w:r>
            <w:r w:rsidRPr="00381341">
              <w:rPr>
                <w:rFonts w:ascii="Times New Roman" w:hAnsi="Times New Roman"/>
              </w:rPr>
              <w:lastRenderedPageBreak/>
              <w:t>физических процессов</w:t>
            </w:r>
            <w:r w:rsidRPr="0038134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7" w:type="dxa"/>
          </w:tcPr>
          <w:p w:rsidR="00F11A86" w:rsidRPr="00477260" w:rsidRDefault="00F11A86" w:rsidP="00555A0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Расчетно-графическая работа, экзамен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lastRenderedPageBreak/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1641"/>
      </w:tblGrid>
      <w:tr w:rsidR="0068426A" w:rsidRPr="00A856C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20548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  </w:t>
            </w:r>
            <w:r w:rsidR="0020548B">
              <w:rPr>
                <w:b/>
                <w:u w:val="single"/>
              </w:rPr>
              <w:t>4</w:t>
            </w:r>
            <w:r w:rsidRPr="00201C7B">
              <w:rPr>
                <w:b/>
                <w:u w:val="single"/>
              </w:rPr>
              <w:t>  </w:t>
            </w:r>
            <w:r w:rsidR="0068426A" w:rsidRPr="00A856CF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20548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548B">
              <w:rPr>
                <w:b/>
              </w:rPr>
              <w:t>44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D223AB" w:rsidRPr="00A856CF" w:rsidRDefault="00D223AB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КСР 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D223AB" w:rsidRPr="00A856CF" w:rsidRDefault="00D223A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548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20548B">
              <w:rPr>
                <w:b/>
                <w:color w:val="000000"/>
              </w:rPr>
              <w:t xml:space="preserve"> эк</w:t>
            </w:r>
            <w:r w:rsidR="00D223AB">
              <w:rPr>
                <w:b/>
                <w:color w:val="000000"/>
              </w:rPr>
              <w:t>замен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D223A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36</w:t>
            </w: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F821B9" w:rsidRPr="00F52D95" w:rsidTr="00201C7B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21B9" w:rsidRPr="00F821B9" w:rsidRDefault="00F821B9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21B9" w:rsidRPr="006A4AA8" w:rsidTr="009315B2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A856CF" w:rsidRPr="006A4AA8" w:rsidRDefault="00853AEA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821B9" w:rsidRPr="006A4AA8" w:rsidTr="009315B2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 w:rsidR="0040121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A856CF" w:rsidRPr="00201C7B" w:rsidRDefault="006C77C3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proofErr w:type="gramEnd"/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="00A856CF" w:rsidRPr="00201C7B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9315B2" w:rsidRPr="006C77C3" w:rsidTr="009315B2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856CF" w:rsidRPr="006C77C3" w:rsidRDefault="00201C7B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856CF" w:rsidRPr="006C77C3" w:rsidRDefault="00A856CF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A856CF" w:rsidRPr="006C77C3" w:rsidRDefault="00A856CF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15B2" w:rsidRPr="00F52D95" w:rsidTr="009315B2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D223AB" w:rsidP="00D223AB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D223A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D223A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D223A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D223AB" w:rsidP="00D223AB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D223AB">
              <w:rPr>
                <w:rFonts w:ascii="Times New Roman" w:hAnsi="Times New Roman"/>
              </w:rPr>
              <w:t xml:space="preserve">Изгибные колебания стержня.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694A0C" w:rsidP="00694A0C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Проблема собственных значений.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8F347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34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D223AB" w:rsidP="003A593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D223AB">
              <w:rPr>
                <w:rFonts w:ascii="Times New Roman" w:hAnsi="Times New Roman"/>
              </w:rPr>
              <w:t>Приближенные методы решения проблемы соб</w:t>
            </w:r>
            <w:r w:rsidR="003A5933">
              <w:rPr>
                <w:rFonts w:ascii="Times New Roman" w:hAnsi="Times New Roman"/>
              </w:rPr>
              <w:t>ственных значений.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C54D2C" w:rsidP="0061005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0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61005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D223AB" w:rsidP="003A593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D223AB">
              <w:rPr>
                <w:rFonts w:ascii="Times New Roman" w:hAnsi="Times New Roman"/>
              </w:rPr>
              <w:t xml:space="preserve">Устойчивость и поведение вблизи границы устойчивости распределенных </w:t>
            </w:r>
            <w:r w:rsidR="003A5933">
              <w:rPr>
                <w:rFonts w:ascii="Times New Roman" w:hAnsi="Times New Roman"/>
              </w:rPr>
              <w:t>механических систем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61005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0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8F347B" w:rsidP="0061005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3A5933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Классификация и виды потери устойчивости</w:t>
            </w:r>
            <w:r w:rsidR="00D223AB" w:rsidRPr="00D223AB">
              <w:rPr>
                <w:rFonts w:ascii="Times New Roman" w:hAnsi="Times New Roman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D223AB" w:rsidRDefault="009315B2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D223AB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8F347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61005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106E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31106E" w:rsidRPr="00D223AB" w:rsidRDefault="0031106E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6E" w:rsidRDefault="0031106E" w:rsidP="0031106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06E" w:rsidRDefault="0031106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1106E" w:rsidRDefault="0031106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1106E" w:rsidRPr="006A4AA8" w:rsidRDefault="0031106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1106E" w:rsidRDefault="0031106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106E" w:rsidRDefault="0031106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01C7B" w:rsidRPr="006C77C3" w:rsidTr="006C77C3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401217" w:rsidRPr="00401217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01C7B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201C7B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Pr="006C77C3" w:rsidRDefault="00401217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="006C77C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61005D" w:rsidRPr="006C77C3" w:rsidTr="00F86391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</w:tcPr>
          <w:p w:rsidR="0061005D" w:rsidRPr="00D223AB" w:rsidRDefault="0061005D" w:rsidP="002E7260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lastRenderedPageBreak/>
              <w:t>КСР                                                                                                                          2</w:t>
            </w:r>
          </w:p>
        </w:tc>
      </w:tr>
      <w:tr w:rsidR="0061005D" w:rsidRPr="006C77C3" w:rsidTr="00F86391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</w:tcPr>
          <w:p w:rsidR="0061005D" w:rsidRDefault="0061005D" w:rsidP="002E7260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Экзамен                                                                                                                  36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 (модуля)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</w:rPr>
      </w:pPr>
      <w:r w:rsidRPr="008E76D2">
        <w:rPr>
          <w:rFonts w:eastAsia="Calibri"/>
          <w:sz w:val="22"/>
          <w:szCs w:val="22"/>
          <w:u w:val="single"/>
        </w:rPr>
        <w:t>Введение.</w:t>
      </w:r>
      <w:r w:rsidRPr="008E76D2">
        <w:rPr>
          <w:rFonts w:eastAsia="Calibri"/>
          <w:sz w:val="22"/>
          <w:szCs w:val="22"/>
        </w:rPr>
        <w:t xml:space="preserve"> </w:t>
      </w:r>
      <w:r w:rsidR="00D223AB" w:rsidRPr="00D223AB">
        <w:rPr>
          <w:sz w:val="22"/>
          <w:szCs w:val="22"/>
        </w:rPr>
        <w:t>Математическое моделирование упругих распределенных систем.</w:t>
      </w:r>
    </w:p>
    <w:p w:rsidR="005D091B" w:rsidRPr="008E76D2" w:rsidRDefault="00D223A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D223AB">
        <w:rPr>
          <w:sz w:val="22"/>
          <w:szCs w:val="22"/>
          <w:u w:val="single"/>
        </w:rPr>
        <w:t>Изгибные колебания стержня</w:t>
      </w:r>
      <w:r w:rsidR="005D091B" w:rsidRPr="008E76D2">
        <w:rPr>
          <w:rFonts w:eastAsia="Calibri"/>
          <w:sz w:val="22"/>
          <w:szCs w:val="22"/>
          <w:u w:val="single"/>
        </w:rPr>
        <w:t>.</w:t>
      </w:r>
      <w:r w:rsidR="005D091B" w:rsidRPr="008E76D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Вывод уравнения </w:t>
      </w:r>
      <w:r>
        <w:rPr>
          <w:sz w:val="22"/>
          <w:szCs w:val="22"/>
        </w:rPr>
        <w:t>и</w:t>
      </w:r>
      <w:r w:rsidRPr="00D223AB">
        <w:rPr>
          <w:sz w:val="22"/>
          <w:szCs w:val="22"/>
        </w:rPr>
        <w:t>згибны</w:t>
      </w:r>
      <w:r>
        <w:rPr>
          <w:sz w:val="22"/>
          <w:szCs w:val="22"/>
        </w:rPr>
        <w:t>х</w:t>
      </w:r>
      <w:r w:rsidRPr="00D223AB">
        <w:rPr>
          <w:sz w:val="22"/>
          <w:szCs w:val="22"/>
        </w:rPr>
        <w:t xml:space="preserve"> колебани</w:t>
      </w:r>
      <w:r>
        <w:rPr>
          <w:sz w:val="22"/>
          <w:szCs w:val="22"/>
        </w:rPr>
        <w:t>й</w:t>
      </w:r>
      <w:r w:rsidRPr="00D223AB">
        <w:rPr>
          <w:sz w:val="22"/>
          <w:szCs w:val="22"/>
        </w:rPr>
        <w:t xml:space="preserve"> стержня. Матрично-операторная форма колебаний. Альтернативные, геометрические и физические краевые условия.</w:t>
      </w:r>
    </w:p>
    <w:p w:rsidR="005D091B" w:rsidRPr="008E76D2" w:rsidRDefault="00694A0C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694A0C">
        <w:rPr>
          <w:sz w:val="22"/>
          <w:szCs w:val="22"/>
          <w:u w:val="single"/>
        </w:rPr>
        <w:t>Проблема собственных значений</w:t>
      </w:r>
      <w:r w:rsidR="005D091B" w:rsidRPr="008E76D2">
        <w:rPr>
          <w:sz w:val="22"/>
          <w:szCs w:val="22"/>
          <w:u w:val="single"/>
        </w:rPr>
        <w:t>.</w:t>
      </w:r>
      <w:r w:rsidR="005D091B" w:rsidRPr="008E76D2">
        <w:rPr>
          <w:sz w:val="22"/>
          <w:szCs w:val="22"/>
        </w:rPr>
        <w:t xml:space="preserve"> </w:t>
      </w:r>
      <w:r w:rsidRPr="00D223AB">
        <w:rPr>
          <w:sz w:val="22"/>
          <w:szCs w:val="22"/>
        </w:rPr>
        <w:t>Постановка</w:t>
      </w:r>
      <w:r>
        <w:rPr>
          <w:sz w:val="22"/>
          <w:szCs w:val="22"/>
        </w:rPr>
        <w:t xml:space="preserve"> проблемы собственных значений</w:t>
      </w:r>
      <w:r w:rsidRPr="00D223AB">
        <w:rPr>
          <w:sz w:val="22"/>
          <w:szCs w:val="22"/>
        </w:rPr>
        <w:t xml:space="preserve">, зависимость решения от свойств операторов. Связь проблемы собственных значений с проблемой устойчивости. Формула Релея. Постановка и решение проблемы собственных значений для </w:t>
      </w:r>
      <w:proofErr w:type="spellStart"/>
      <w:r w:rsidRPr="00D223AB">
        <w:rPr>
          <w:sz w:val="22"/>
          <w:szCs w:val="22"/>
        </w:rPr>
        <w:t>консольно</w:t>
      </w:r>
      <w:proofErr w:type="spellEnd"/>
      <w:r w:rsidRPr="00D223AB">
        <w:rPr>
          <w:sz w:val="22"/>
          <w:szCs w:val="22"/>
        </w:rPr>
        <w:t xml:space="preserve"> закрепленного и шарнирно закрепленного стержня.</w:t>
      </w:r>
    </w:p>
    <w:p w:rsidR="005D091B" w:rsidRPr="008E76D2" w:rsidRDefault="003A5933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3A5933">
        <w:rPr>
          <w:sz w:val="22"/>
          <w:szCs w:val="22"/>
          <w:u w:val="single"/>
        </w:rPr>
        <w:t>Приближенные методы решения проблемы собственных значений</w:t>
      </w:r>
      <w:r w:rsidR="005D091B" w:rsidRPr="008E76D2">
        <w:rPr>
          <w:sz w:val="22"/>
          <w:szCs w:val="22"/>
          <w:u w:val="single"/>
        </w:rPr>
        <w:t>.</w:t>
      </w:r>
      <w:r w:rsidR="005D091B" w:rsidRPr="008E76D2">
        <w:rPr>
          <w:sz w:val="22"/>
          <w:szCs w:val="22"/>
        </w:rPr>
        <w:t xml:space="preserve"> </w:t>
      </w:r>
      <w:r w:rsidRPr="00D223AB">
        <w:rPr>
          <w:sz w:val="22"/>
          <w:szCs w:val="22"/>
        </w:rPr>
        <w:t>Метод Ритца. Ме</w:t>
      </w:r>
      <w:r>
        <w:rPr>
          <w:sz w:val="22"/>
          <w:szCs w:val="22"/>
        </w:rPr>
        <w:t xml:space="preserve">тод </w:t>
      </w:r>
      <w:proofErr w:type="spellStart"/>
      <w:r>
        <w:rPr>
          <w:sz w:val="22"/>
          <w:szCs w:val="22"/>
        </w:rPr>
        <w:t>Бубнова</w:t>
      </w:r>
      <w:proofErr w:type="spellEnd"/>
      <w:r>
        <w:rPr>
          <w:sz w:val="22"/>
          <w:szCs w:val="22"/>
        </w:rPr>
        <w:t>-Галеркина</w:t>
      </w:r>
      <w:r w:rsidR="005D091B" w:rsidRPr="008E76D2">
        <w:rPr>
          <w:sz w:val="22"/>
          <w:szCs w:val="22"/>
        </w:rPr>
        <w:t>.</w:t>
      </w:r>
    </w:p>
    <w:p w:rsidR="005D091B" w:rsidRPr="008E76D2" w:rsidRDefault="003A5933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3A5933">
        <w:rPr>
          <w:sz w:val="22"/>
          <w:szCs w:val="22"/>
          <w:u w:val="single"/>
        </w:rPr>
        <w:t xml:space="preserve">Устойчивость и поведение вблизи границы устойчивости распределенных </w:t>
      </w:r>
      <w:r w:rsidRPr="003A5933">
        <w:rPr>
          <w:u w:val="single"/>
        </w:rPr>
        <w:t>механических систем</w:t>
      </w:r>
      <w:r w:rsidR="005D091B" w:rsidRPr="008E76D2">
        <w:rPr>
          <w:sz w:val="22"/>
          <w:szCs w:val="22"/>
          <w:u w:val="single"/>
        </w:rPr>
        <w:t>.</w:t>
      </w:r>
      <w:r w:rsidR="005D091B" w:rsidRPr="008E76D2">
        <w:rPr>
          <w:sz w:val="22"/>
          <w:szCs w:val="22"/>
        </w:rPr>
        <w:t xml:space="preserve"> </w:t>
      </w:r>
      <w:r w:rsidRPr="00D223AB">
        <w:rPr>
          <w:sz w:val="22"/>
          <w:szCs w:val="22"/>
        </w:rPr>
        <w:t>Устойчивость и поведение вблизи границы устойчивости распределенных упругих моделей в зависимости от граничных условий</w:t>
      </w:r>
      <w:r>
        <w:rPr>
          <w:sz w:val="22"/>
          <w:szCs w:val="22"/>
        </w:rPr>
        <w:t>.</w:t>
      </w:r>
    </w:p>
    <w:p w:rsidR="005D091B" w:rsidRPr="008E76D2" w:rsidRDefault="003A5933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3A5933">
        <w:rPr>
          <w:sz w:val="22"/>
          <w:szCs w:val="22"/>
          <w:u w:val="single"/>
        </w:rPr>
        <w:t>Классификация и виды потери устойчивости</w:t>
      </w:r>
      <w:r w:rsidR="005D091B" w:rsidRPr="008E76D2">
        <w:rPr>
          <w:sz w:val="22"/>
          <w:szCs w:val="22"/>
          <w:u w:val="single"/>
        </w:rPr>
        <w:t>.</w:t>
      </w:r>
      <w:r w:rsidR="005D091B" w:rsidRPr="008E76D2">
        <w:rPr>
          <w:sz w:val="22"/>
          <w:szCs w:val="22"/>
        </w:rPr>
        <w:t xml:space="preserve"> </w:t>
      </w:r>
      <w:r w:rsidRPr="00D223AB">
        <w:rPr>
          <w:sz w:val="22"/>
          <w:szCs w:val="22"/>
        </w:rPr>
        <w:t>Динамическая и статическая потеря устойчивости. Консервативная и не консервативная потеря устойчивости</w:t>
      </w:r>
      <w:r w:rsidR="005D091B" w:rsidRPr="008E76D2">
        <w:rPr>
          <w:sz w:val="22"/>
          <w:szCs w:val="22"/>
        </w:rPr>
        <w:t>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Обзор курса.</w:t>
      </w:r>
      <w:r w:rsidRPr="008E76D2">
        <w:rPr>
          <w:sz w:val="22"/>
          <w:szCs w:val="22"/>
        </w:rPr>
        <w:t xml:space="preserve"> Подготовка к промежуточной аттестации.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</w:t>
      </w:r>
      <w:r w:rsidR="003A5933">
        <w:rPr>
          <w:rFonts w:ascii="Times New Roman" w:hAnsi="Times New Roman"/>
          <w:sz w:val="24"/>
          <w:szCs w:val="24"/>
        </w:rPr>
        <w:t>экзамен</w:t>
      </w:r>
      <w:r w:rsidRPr="005D091B">
        <w:rPr>
          <w:rFonts w:ascii="Times New Roman" w:hAnsi="Times New Roman"/>
          <w:sz w:val="24"/>
          <w:szCs w:val="24"/>
        </w:rPr>
        <w:t>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</w:t>
      </w:r>
      <w:r w:rsidR="00274F2B">
        <w:rPr>
          <w:rFonts w:ascii="Times New Roman" w:eastAsia="Calibri" w:hAnsi="Times New Roman"/>
          <w:color w:val="000000"/>
          <w:sz w:val="24"/>
          <w:szCs w:val="24"/>
        </w:rPr>
        <w:t>экзамен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274F2B">
        <w:rPr>
          <w:rFonts w:ascii="Times New Roman" w:hAnsi="Times New Roman"/>
          <w:i/>
          <w:sz w:val="24"/>
          <w:szCs w:val="24"/>
        </w:rPr>
        <w:t>расчетно-графических</w:t>
      </w:r>
      <w:r w:rsidR="00A83D3B" w:rsidRPr="00A83D3B">
        <w:rPr>
          <w:rFonts w:ascii="Times New Roman" w:hAnsi="Times New Roman"/>
          <w:i/>
          <w:sz w:val="24"/>
          <w:szCs w:val="24"/>
        </w:rPr>
        <w:t xml:space="preserve">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274F2B">
        <w:rPr>
          <w:rFonts w:ascii="Times New Roman" w:hAnsi="Times New Roman"/>
          <w:i/>
          <w:iCs/>
          <w:sz w:val="24"/>
          <w:szCs w:val="24"/>
        </w:rPr>
        <w:t>экзамену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Отсутствие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Отсутствие владения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A26A70" w:rsidRDefault="00A26A70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</w:t>
            </w:r>
            <w:r w:rsidRPr="008C7CFA">
              <w:rPr>
                <w:rFonts w:ascii="Times New Roman" w:hAnsi="Times New Roman"/>
              </w:rPr>
              <w:lastRenderedPageBreak/>
              <w:t>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387EC5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  <w:r w:rsidR="00E14B00">
        <w:rPr>
          <w:rFonts w:ascii="Times New Roman" w:hAnsi="Times New Roman"/>
          <w:b/>
          <w:sz w:val="24"/>
          <w:szCs w:val="24"/>
        </w:rPr>
        <w:t xml:space="preserve"> на экзамен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8"/>
        <w:gridCol w:w="1433"/>
      </w:tblGrid>
      <w:tr w:rsidR="00A357FF" w:rsidRPr="000C1994">
        <w:trPr>
          <w:tblHeader/>
        </w:trPr>
        <w:tc>
          <w:tcPr>
            <w:tcW w:w="8138" w:type="dxa"/>
            <w:shd w:val="clear" w:color="auto" w:fill="auto"/>
            <w:vAlign w:val="center"/>
          </w:tcPr>
          <w:p w:rsidR="00A357FF" w:rsidRPr="000C1994" w:rsidRDefault="00387EC5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="00A357FF"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357FF" w:rsidRPr="000C1994" w:rsidRDefault="00A357FF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Вывод уравнений изгибных колебаний стержня. Альтернативные, геометрические и физические краевые условия в случае изгибных колебаний стержня.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Матрично-операторная форма уравнений колебаний распределенных систем. Пример для изгибных колебаний стержня.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Примеры матрично-операторной формы уравнений.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Проблема собственных значений. Постановка, зависимость решения от свойств операторов.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Постановка и решение проблемы собственных значений для шарнирно закрепленного стержня.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Постановка и решение проблемы собственных значений для консольного стержня.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Связь проблемы собственных значений с проблемой устойчивости. Формула Релея.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Приближенные методы решения проблемы собственных значений. Метод Ритца.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 xml:space="preserve">Приближенные методы решения проблемы собственных значений. Метод </w:t>
            </w:r>
            <w:proofErr w:type="spellStart"/>
            <w:r w:rsidRPr="00D2205C">
              <w:rPr>
                <w:rFonts w:ascii="Times New Roman" w:hAnsi="Times New Roman"/>
                <w:sz w:val="18"/>
                <w:szCs w:val="18"/>
              </w:rPr>
              <w:t>Бубнова</w:t>
            </w:r>
            <w:proofErr w:type="spellEnd"/>
            <w:r w:rsidRPr="00D2205C">
              <w:rPr>
                <w:rFonts w:ascii="Times New Roman" w:hAnsi="Times New Roman"/>
                <w:sz w:val="18"/>
                <w:szCs w:val="18"/>
              </w:rPr>
              <w:t>-Галеркина.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Устойчивость и поведение вблизи границы устойчивости шарнирно закрепленного стержня при продольном сжатии.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 xml:space="preserve">Устойчивость </w:t>
            </w:r>
            <w:proofErr w:type="spellStart"/>
            <w:r w:rsidRPr="00D2205C">
              <w:rPr>
                <w:rFonts w:ascii="Times New Roman" w:hAnsi="Times New Roman"/>
                <w:sz w:val="18"/>
                <w:szCs w:val="18"/>
              </w:rPr>
              <w:t>консольно</w:t>
            </w:r>
            <w:proofErr w:type="spellEnd"/>
            <w:r w:rsidRPr="00D2205C">
              <w:rPr>
                <w:rFonts w:ascii="Times New Roman" w:hAnsi="Times New Roman"/>
                <w:sz w:val="18"/>
                <w:szCs w:val="18"/>
              </w:rPr>
              <w:t xml:space="preserve"> закрепленного стержня. Исследование методом </w:t>
            </w:r>
            <w:proofErr w:type="spellStart"/>
            <w:r w:rsidRPr="00D2205C">
              <w:rPr>
                <w:rFonts w:ascii="Times New Roman" w:hAnsi="Times New Roman"/>
                <w:sz w:val="18"/>
                <w:szCs w:val="18"/>
              </w:rPr>
              <w:t>Бубнова</w:t>
            </w:r>
            <w:proofErr w:type="spellEnd"/>
            <w:r w:rsidRPr="00D2205C">
              <w:rPr>
                <w:rFonts w:ascii="Times New Roman" w:hAnsi="Times New Roman"/>
                <w:sz w:val="18"/>
                <w:szCs w:val="18"/>
              </w:rPr>
              <w:t>-Галеркина.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 xml:space="preserve">Устойчивость </w:t>
            </w:r>
            <w:proofErr w:type="spellStart"/>
            <w:r w:rsidRPr="00D2205C">
              <w:rPr>
                <w:rFonts w:ascii="Times New Roman" w:hAnsi="Times New Roman"/>
                <w:sz w:val="18"/>
                <w:szCs w:val="18"/>
              </w:rPr>
              <w:t>консольно</w:t>
            </w:r>
            <w:proofErr w:type="spellEnd"/>
            <w:r w:rsidRPr="00D2205C">
              <w:rPr>
                <w:rFonts w:ascii="Times New Roman" w:hAnsi="Times New Roman"/>
                <w:sz w:val="18"/>
                <w:szCs w:val="18"/>
              </w:rPr>
              <w:t xml:space="preserve"> закрепленного стержня. Исследование с использованием полиномов.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0C150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Схема и результаты точного исследования решения задачи об устойчивости консольного стержня.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2E726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>Устойчивость шарнирно закрепленного стержня на упругом основании.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2E726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t>ПК-2</w:t>
            </w:r>
          </w:p>
        </w:tc>
      </w:tr>
      <w:tr w:rsidR="00D2205C" w:rsidRPr="00734279">
        <w:tc>
          <w:tcPr>
            <w:tcW w:w="8138" w:type="dxa"/>
            <w:shd w:val="clear" w:color="auto" w:fill="auto"/>
          </w:tcPr>
          <w:p w:rsidR="00D2205C" w:rsidRPr="00D2205C" w:rsidRDefault="00D2205C" w:rsidP="002E72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t xml:space="preserve">О статической и динамической потери устойчивости. О консервативной и неконсервативной </w:t>
            </w:r>
            <w:r w:rsidRPr="00D2205C">
              <w:rPr>
                <w:rFonts w:ascii="Times New Roman" w:hAnsi="Times New Roman"/>
                <w:sz w:val="18"/>
                <w:szCs w:val="18"/>
              </w:rPr>
              <w:lastRenderedPageBreak/>
              <w:t>потери устойчивости. Физический и математический смысл. Примеры.</w:t>
            </w:r>
          </w:p>
        </w:tc>
        <w:tc>
          <w:tcPr>
            <w:tcW w:w="1433" w:type="dxa"/>
            <w:shd w:val="clear" w:color="auto" w:fill="auto"/>
          </w:tcPr>
          <w:p w:rsidR="00D2205C" w:rsidRPr="00734279" w:rsidRDefault="00D2205C" w:rsidP="002E726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27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ПК-2</w:t>
            </w:r>
          </w:p>
        </w:tc>
      </w:tr>
    </w:tbl>
    <w:p w:rsidR="003E0A17" w:rsidRPr="00C65B06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lastRenderedPageBreak/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ПК-2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C65B06" w:rsidRDefault="00C65B06" w:rsidP="00C65B06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Pr="00A103D2">
        <w:rPr>
          <w:rFonts w:ascii="Times New Roman" w:hAnsi="Times New Roman"/>
        </w:rPr>
        <w:t>Написать уравнение продольных колебаний  стержня в матричной форме, у которого один конец закреплен шарнирно, а другой свободен</w:t>
      </w:r>
      <w:r w:rsidRPr="00A103D2">
        <w:rPr>
          <w:rFonts w:ascii="Times New Roman" w:hAnsi="Times New Roman"/>
          <w:bCs/>
        </w:rPr>
        <w:t>.</w:t>
      </w:r>
    </w:p>
    <w:p w:rsidR="00C65B06" w:rsidRDefault="00C65B06" w:rsidP="00C65B06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 </w:t>
      </w:r>
      <w:r w:rsidRPr="00A103D2">
        <w:rPr>
          <w:rFonts w:ascii="Times New Roman" w:hAnsi="Times New Roman"/>
        </w:rPr>
        <w:t xml:space="preserve">Написать уравнение продольных колебаний  стержня, у которого оба конца закреплены шарнирно. Проверить операторы на </w:t>
      </w:r>
      <w:proofErr w:type="spellStart"/>
      <w:r w:rsidRPr="00A103D2">
        <w:rPr>
          <w:rFonts w:ascii="Times New Roman" w:hAnsi="Times New Roman"/>
        </w:rPr>
        <w:t>самосопряженность</w:t>
      </w:r>
      <w:proofErr w:type="spellEnd"/>
      <w:r w:rsidRPr="00A103D2">
        <w:rPr>
          <w:rFonts w:ascii="Times New Roman" w:hAnsi="Times New Roman"/>
        </w:rPr>
        <w:t>.</w:t>
      </w:r>
    </w:p>
    <w:p w:rsidR="00C65B06" w:rsidRPr="00C65B06" w:rsidRDefault="00C65B06" w:rsidP="00C65B06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A103D2">
        <w:rPr>
          <w:rFonts w:ascii="Times New Roman" w:hAnsi="Times New Roman"/>
        </w:rPr>
        <w:t>Записать в матричной форме колебания струны</w:t>
      </w:r>
      <w:r>
        <w:rPr>
          <w:rFonts w:ascii="Times New Roman" w:hAnsi="Times New Roman"/>
        </w:rPr>
        <w:t>.</w:t>
      </w:r>
    </w:p>
    <w:p w:rsidR="00734279" w:rsidRPr="00C65B06" w:rsidRDefault="00C65B06" w:rsidP="00C65B06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задания для расчетно-графической работы</w:t>
      </w:r>
    </w:p>
    <w:p w:rsidR="00C65B06" w:rsidRPr="00C65B06" w:rsidRDefault="00C65B06" w:rsidP="00C65B06">
      <w:pPr>
        <w:ind w:firstLine="426"/>
        <w:contextualSpacing/>
        <w:jc w:val="both"/>
        <w:rPr>
          <w:rFonts w:ascii="Times New Roman" w:hAnsi="Times New Roman"/>
        </w:rPr>
      </w:pPr>
      <w:r w:rsidRPr="00C65B06">
        <w:rPr>
          <w:rFonts w:ascii="Times New Roman" w:hAnsi="Times New Roman"/>
        </w:rPr>
        <w:t>Уравнение поперечных колебаний стержня имеет вид:</w:t>
      </w:r>
    </w:p>
    <w:p w:rsidR="00C65B06" w:rsidRPr="00C65B06" w:rsidRDefault="00C65B06" w:rsidP="00C65B06">
      <w:pPr>
        <w:ind w:firstLine="426"/>
        <w:contextualSpacing/>
        <w:jc w:val="both"/>
        <w:rPr>
          <w:rFonts w:ascii="Times New Roman" w:hAnsi="Times New Roman"/>
        </w:rPr>
      </w:pPr>
      <w:r w:rsidRPr="00C65B06">
        <w:rPr>
          <w:rFonts w:ascii="Times New Roman" w:hAnsi="Times New Roman"/>
          <w:position w:val="-24"/>
        </w:rPr>
        <w:object w:dxaOrig="40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3pt" o:ole="">
            <v:imagedata r:id="rId9" o:title=""/>
          </v:shape>
          <o:OLEObject Type="Embed" ProgID="Equation.3" ShapeID="_x0000_i1025" DrawAspect="Content" ObjectID="_1677591513" r:id="rId10"/>
        </w:object>
      </w:r>
      <w:r w:rsidRPr="00C65B06">
        <w:rPr>
          <w:rFonts w:ascii="Times New Roman" w:hAnsi="Times New Roman"/>
        </w:rPr>
        <w:t>,</w:t>
      </w:r>
    </w:p>
    <w:p w:rsidR="00C65B06" w:rsidRPr="00C65B06" w:rsidRDefault="00C65B06" w:rsidP="00C65B06">
      <w:pPr>
        <w:spacing w:before="120"/>
        <w:ind w:firstLine="426"/>
        <w:jc w:val="both"/>
        <w:rPr>
          <w:rFonts w:ascii="Times New Roman" w:hAnsi="Times New Roman"/>
        </w:rPr>
      </w:pPr>
      <w:r w:rsidRPr="00C65B06">
        <w:rPr>
          <w:rFonts w:ascii="Times New Roman" w:hAnsi="Times New Roman"/>
        </w:rPr>
        <w:t xml:space="preserve">где </w:t>
      </w:r>
      <w:r w:rsidRPr="00C65B06">
        <w:rPr>
          <w:rFonts w:ascii="Times New Roman" w:hAnsi="Times New Roman"/>
          <w:i/>
        </w:rPr>
        <w:t>EI</w:t>
      </w:r>
      <w:r w:rsidRPr="00C65B06">
        <w:rPr>
          <w:rFonts w:ascii="Times New Roman" w:hAnsi="Times New Roman"/>
        </w:rPr>
        <w:t xml:space="preserve"> – изгибная жесткость стержня, </w:t>
      </w:r>
      <w:r w:rsidRPr="00C65B06">
        <w:rPr>
          <w:rFonts w:ascii="Times New Roman" w:hAnsi="Times New Roman"/>
          <w:i/>
          <w:lang w:val="en-US"/>
        </w:rPr>
        <w:t>m</w:t>
      </w:r>
      <w:r w:rsidRPr="00C65B06">
        <w:rPr>
          <w:rFonts w:ascii="Times New Roman" w:hAnsi="Times New Roman"/>
        </w:rPr>
        <w:t xml:space="preserve"> – распределенная масса, </w:t>
      </w:r>
      <w:r w:rsidRPr="00C65B06">
        <w:rPr>
          <w:rFonts w:ascii="Times New Roman" w:hAnsi="Times New Roman"/>
          <w:lang w:val="en-US"/>
        </w:rPr>
        <w:t>P</w:t>
      </w:r>
      <w:r w:rsidRPr="00C65B06">
        <w:rPr>
          <w:rFonts w:ascii="Times New Roman" w:hAnsi="Times New Roman"/>
        </w:rPr>
        <w:t xml:space="preserve"> – сжимающая нагрузка.</w:t>
      </w:r>
    </w:p>
    <w:p w:rsidR="00C65B06" w:rsidRDefault="00C65B06" w:rsidP="00C65B06">
      <w:pPr>
        <w:spacing w:before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65B06">
        <w:rPr>
          <w:rFonts w:ascii="Times New Roman" w:hAnsi="Times New Roman"/>
        </w:rPr>
        <w:t xml:space="preserve">Проверить операторы задачи на </w:t>
      </w:r>
      <w:proofErr w:type="spellStart"/>
      <w:r w:rsidRPr="00C65B06">
        <w:rPr>
          <w:rFonts w:ascii="Times New Roman" w:hAnsi="Times New Roman"/>
        </w:rPr>
        <w:t>самосопряженность</w:t>
      </w:r>
      <w:proofErr w:type="spellEnd"/>
      <w:r w:rsidRPr="00C65B06">
        <w:rPr>
          <w:rFonts w:ascii="Times New Roman" w:hAnsi="Times New Roman"/>
        </w:rPr>
        <w:t xml:space="preserve"> в случае, когда оба конца стержня жестко закреплены: </w:t>
      </w:r>
      <w:r w:rsidRPr="00C65B06">
        <w:rPr>
          <w:rFonts w:ascii="Times New Roman" w:hAnsi="Times New Roman"/>
          <w:position w:val="-14"/>
        </w:rPr>
        <w:object w:dxaOrig="2480" w:dyaOrig="400">
          <v:shape id="_x0000_i1026" type="#_x0000_t75" style="width:123.75pt;height:20.25pt" o:ole="">
            <v:imagedata r:id="rId11" o:title=""/>
          </v:shape>
          <o:OLEObject Type="Embed" ProgID="Equation.3" ShapeID="_x0000_i1026" DrawAspect="Content" ObjectID="_1677591514" r:id="rId12"/>
        </w:object>
      </w:r>
      <w:r w:rsidRPr="00C65B06">
        <w:rPr>
          <w:rFonts w:ascii="Times New Roman" w:hAnsi="Times New Roman"/>
        </w:rPr>
        <w:t xml:space="preserve">, </w:t>
      </w:r>
      <w:r w:rsidRPr="00C65B06">
        <w:rPr>
          <w:rFonts w:ascii="Times New Roman" w:hAnsi="Times New Roman"/>
          <w:position w:val="-24"/>
        </w:rPr>
        <w:object w:dxaOrig="2799" w:dyaOrig="620">
          <v:shape id="_x0000_i1027" type="#_x0000_t75" style="width:140.25pt;height:30.75pt" o:ole="">
            <v:imagedata r:id="rId13" o:title=""/>
          </v:shape>
          <o:OLEObject Type="Embed" ProgID="Equation.3" ShapeID="_x0000_i1027" DrawAspect="Content" ObjectID="_1677591515" r:id="rId14"/>
        </w:object>
      </w:r>
      <w:r w:rsidRPr="00C65B06">
        <w:rPr>
          <w:rFonts w:ascii="Times New Roman" w:hAnsi="Times New Roman"/>
        </w:rPr>
        <w:t xml:space="preserve"> (</w:t>
      </w:r>
      <w:r w:rsidRPr="00C65B06">
        <w:rPr>
          <w:rFonts w:ascii="Times New Roman" w:hAnsi="Times New Roman"/>
          <w:i/>
          <w:lang w:val="en-US"/>
        </w:rPr>
        <w:t>l</w:t>
      </w:r>
      <w:r w:rsidRPr="00C65B06">
        <w:rPr>
          <w:rFonts w:ascii="Times New Roman" w:hAnsi="Times New Roman"/>
        </w:rPr>
        <w:t xml:space="preserve"> – длина стержня).</w:t>
      </w:r>
    </w:p>
    <w:p w:rsidR="00C65B06" w:rsidRPr="00C65B06" w:rsidRDefault="00C65B06" w:rsidP="00C65B06">
      <w:pPr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 отсутствии сжимающей нагрузки п</w:t>
      </w:r>
      <w:r w:rsidRPr="00C65B06">
        <w:rPr>
          <w:rFonts w:ascii="Times New Roman" w:hAnsi="Times New Roman"/>
        </w:rPr>
        <w:t>оставить задачу проблемы нахождения собственных значений и собственных форм деформации. Найти первые три собственных значения и соответствующие им формы деформации.</w:t>
      </w:r>
    </w:p>
    <w:p w:rsidR="00C65B06" w:rsidRPr="00C65B06" w:rsidRDefault="00C65B06" w:rsidP="00C65B06">
      <w:pPr>
        <w:ind w:firstLine="426"/>
        <w:contextualSpacing/>
        <w:jc w:val="both"/>
        <w:rPr>
          <w:rFonts w:ascii="Times New Roman" w:hAnsi="Times New Roman"/>
        </w:rPr>
      </w:pPr>
      <w:r w:rsidRPr="00C65B06">
        <w:rPr>
          <w:rFonts w:ascii="Times New Roman" w:hAnsi="Times New Roman"/>
        </w:rPr>
        <w:t xml:space="preserve">Найти первые три формы деформации в полиномиальном виде из условий согласования с граничными условиями и условиями </w:t>
      </w:r>
      <w:proofErr w:type="spellStart"/>
      <w:r w:rsidRPr="00C65B06">
        <w:rPr>
          <w:rFonts w:ascii="Times New Roman" w:hAnsi="Times New Roman"/>
        </w:rPr>
        <w:t>ортонормированности</w:t>
      </w:r>
      <w:proofErr w:type="spellEnd"/>
      <w:r w:rsidRPr="00C65B06">
        <w:rPr>
          <w:rFonts w:ascii="Times New Roman" w:hAnsi="Times New Roman"/>
        </w:rPr>
        <w:t xml:space="preserve"> форм и постро</w:t>
      </w:r>
      <w:r>
        <w:rPr>
          <w:rFonts w:ascii="Times New Roman" w:hAnsi="Times New Roman"/>
        </w:rPr>
        <w:t xml:space="preserve">ить их график. </w:t>
      </w:r>
      <w:r w:rsidRPr="00C65B06">
        <w:rPr>
          <w:rFonts w:ascii="Times New Roman" w:hAnsi="Times New Roman"/>
        </w:rPr>
        <w:t xml:space="preserve">Провести сравнительный анализ этих форм с формами, полученными из задачи на проблему собственных значений, используя метод среднего квадратичного отклонения в </w:t>
      </w:r>
      <w:r w:rsidRPr="00C65B06">
        <w:rPr>
          <w:rFonts w:ascii="Times New Roman" w:hAnsi="Times New Roman"/>
          <w:i/>
          <w:lang w:val="en-US"/>
        </w:rPr>
        <w:t>n</w:t>
      </w:r>
      <w:r w:rsidRPr="00C65B06">
        <w:rPr>
          <w:rFonts w:ascii="Times New Roman" w:hAnsi="Times New Roman"/>
        </w:rPr>
        <w:t xml:space="preserve"> узловых точках (</w:t>
      </w:r>
      <w:r w:rsidRPr="00C65B06">
        <w:rPr>
          <w:rFonts w:ascii="Times New Roman" w:hAnsi="Times New Roman"/>
          <w:i/>
          <w:lang w:val="en-US"/>
        </w:rPr>
        <w:t>n</w:t>
      </w:r>
      <w:r w:rsidRPr="00C65B06">
        <w:rPr>
          <w:rFonts w:ascii="Times New Roman" w:hAnsi="Times New Roman"/>
        </w:rPr>
        <w:t>=1000).</w:t>
      </w:r>
    </w:p>
    <w:p w:rsidR="00C65B06" w:rsidRDefault="00C65B06" w:rsidP="00C65B06">
      <w:pPr>
        <w:spacing w:before="120"/>
        <w:ind w:firstLine="426"/>
        <w:jc w:val="both"/>
        <w:rPr>
          <w:rFonts w:ascii="Times New Roman" w:hAnsi="Times New Roman"/>
        </w:rPr>
      </w:pPr>
      <w:r w:rsidRPr="00C65B06">
        <w:rPr>
          <w:rFonts w:ascii="Times New Roman" w:hAnsi="Times New Roman"/>
        </w:rPr>
        <w:t>Для наглядности соответствующие формы деформации, полученные разными подходами, должны быть изображены на одном графике.</w:t>
      </w:r>
    </w:p>
    <w:p w:rsidR="00C324F1" w:rsidRPr="00C65B06" w:rsidRDefault="00C65B06" w:rsidP="00C65B06">
      <w:pPr>
        <w:spacing w:before="120"/>
        <w:ind w:firstLine="426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3. </w:t>
      </w:r>
      <w:r w:rsidRPr="00C65B06">
        <w:rPr>
          <w:rFonts w:ascii="Times New Roman" w:hAnsi="Times New Roman"/>
        </w:rPr>
        <w:t>Найти критическое значение сжимающей нагрузки, при которой происходит потеря устойчивости.</w:t>
      </w: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1" w:name="_Ref5112009"/>
            <w:proofErr w:type="gramEnd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3E6F04" w:rsidRDefault="003E6F04" w:rsidP="00F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F04">
              <w:rPr>
                <w:rFonts w:ascii="Times New Roman" w:hAnsi="Times New Roman"/>
              </w:rPr>
              <w:t xml:space="preserve">Смирнов Л.В., Капитанов Д.В. Динамика упругого сжатого стержня при потере устойчивости: </w:t>
            </w:r>
            <w:proofErr w:type="spellStart"/>
            <w:r w:rsidRPr="003E6F04">
              <w:rPr>
                <w:rFonts w:ascii="Times New Roman" w:hAnsi="Times New Roman"/>
              </w:rPr>
              <w:t>Учебно</w:t>
            </w:r>
            <w:proofErr w:type="spellEnd"/>
            <w:r w:rsidRPr="003E6F04">
              <w:rPr>
                <w:rFonts w:ascii="Times New Roman" w:hAnsi="Times New Roman"/>
              </w:rPr>
              <w:t>–методическое пособие. – Н. Новгород: Нижегородский госуниверситет, 2010. – 20 с. (</w:t>
            </w:r>
            <w:hyperlink r:id="rId15" w:history="1">
              <w:r w:rsidRPr="003E6F04">
                <w:rPr>
                  <w:rStyle w:val="ad"/>
                  <w:rFonts w:ascii="Times New Roman" w:hAnsi="Times New Roman"/>
                </w:rPr>
                <w:t>http://www.unn.ru/books/met_files/dynamic.doc</w:t>
              </w:r>
            </w:hyperlink>
            <w:r w:rsidRPr="003E6F04">
              <w:rPr>
                <w:rFonts w:ascii="Times New Roman" w:hAnsi="Times New Roman"/>
              </w:rPr>
              <w:t>)</w:t>
            </w:r>
          </w:p>
        </w:tc>
        <w:tc>
          <w:tcPr>
            <w:tcW w:w="812" w:type="dxa"/>
          </w:tcPr>
          <w:p w:rsidR="003E46F7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3E6F04" w:rsidRDefault="003E6F04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  <w:r w:rsidRPr="003E6F04">
              <w:rPr>
                <w:rFonts w:ascii="Times New Roman" w:hAnsi="Times New Roman"/>
              </w:rPr>
              <w:t>Элементы теории колебаний: Учеб</w:t>
            </w:r>
            <w:proofErr w:type="gramStart"/>
            <w:r w:rsidRPr="003E6F04">
              <w:rPr>
                <w:rFonts w:ascii="Times New Roman" w:hAnsi="Times New Roman"/>
              </w:rPr>
              <w:t>.</w:t>
            </w:r>
            <w:proofErr w:type="gramEnd"/>
            <w:r w:rsidRPr="003E6F04">
              <w:rPr>
                <w:rFonts w:ascii="Times New Roman" w:hAnsi="Times New Roman"/>
              </w:rPr>
              <w:t xml:space="preserve"> </w:t>
            </w:r>
            <w:proofErr w:type="gramStart"/>
            <w:r w:rsidRPr="003E6F04">
              <w:rPr>
                <w:rFonts w:ascii="Times New Roman" w:hAnsi="Times New Roman"/>
              </w:rPr>
              <w:t>п</w:t>
            </w:r>
            <w:proofErr w:type="gramEnd"/>
            <w:r w:rsidRPr="003E6F04">
              <w:rPr>
                <w:rFonts w:ascii="Times New Roman" w:hAnsi="Times New Roman"/>
              </w:rPr>
              <w:t xml:space="preserve">особие для вузов. – 2е изд., </w:t>
            </w:r>
            <w:proofErr w:type="spellStart"/>
            <w:r w:rsidRPr="003E6F04">
              <w:rPr>
                <w:rFonts w:ascii="Times New Roman" w:hAnsi="Times New Roman"/>
              </w:rPr>
              <w:t>перераб</w:t>
            </w:r>
            <w:proofErr w:type="spellEnd"/>
            <w:r w:rsidRPr="003E6F04">
              <w:rPr>
                <w:rFonts w:ascii="Times New Roman" w:hAnsi="Times New Roman"/>
              </w:rPr>
              <w:t xml:space="preserve">. и доп. / В.Д. Горяченко – М: </w:t>
            </w:r>
            <w:proofErr w:type="spellStart"/>
            <w:r w:rsidRPr="003E6F04">
              <w:rPr>
                <w:rFonts w:ascii="Times New Roman" w:hAnsi="Times New Roman"/>
              </w:rPr>
              <w:t>Высш</w:t>
            </w:r>
            <w:proofErr w:type="spellEnd"/>
            <w:r w:rsidRPr="003E6F04">
              <w:rPr>
                <w:rFonts w:ascii="Times New Roman" w:hAnsi="Times New Roman"/>
              </w:rPr>
              <w:t xml:space="preserve">. </w:t>
            </w:r>
            <w:proofErr w:type="spellStart"/>
            <w:r w:rsidRPr="003E6F04">
              <w:rPr>
                <w:rFonts w:ascii="Times New Roman" w:hAnsi="Times New Roman"/>
              </w:rPr>
              <w:t>шк</w:t>
            </w:r>
            <w:proofErr w:type="spellEnd"/>
            <w:r w:rsidRPr="003E6F04">
              <w:rPr>
                <w:rFonts w:ascii="Times New Roman" w:hAnsi="Times New Roman"/>
              </w:rPr>
              <w:t>., 2001. – 395с.</w:t>
            </w:r>
          </w:p>
        </w:tc>
        <w:tc>
          <w:tcPr>
            <w:tcW w:w="812" w:type="dxa"/>
          </w:tcPr>
          <w:p w:rsidR="00871772" w:rsidRPr="00871772" w:rsidRDefault="00065910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 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065910" w:rsidRDefault="003E6F04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10">
              <w:rPr>
                <w:rFonts w:ascii="Times New Roman" w:hAnsi="Times New Roman"/>
              </w:rPr>
              <w:t xml:space="preserve">Болотин В.В. Неконсервативные задачи теории упругой устойчивости. – М.: Государственное издательство </w:t>
            </w:r>
            <w:proofErr w:type="spellStart"/>
            <w:r w:rsidRPr="00065910">
              <w:rPr>
                <w:rFonts w:ascii="Times New Roman" w:hAnsi="Times New Roman"/>
              </w:rPr>
              <w:t>физико</w:t>
            </w:r>
            <w:proofErr w:type="spellEnd"/>
            <w:r w:rsidRPr="00065910">
              <w:rPr>
                <w:rFonts w:ascii="Times New Roman" w:hAnsi="Times New Roman"/>
              </w:rPr>
              <w:t>–математической литературы, 1961. – 340 с.</w:t>
            </w:r>
            <w:r w:rsidR="00065910">
              <w:rPr>
                <w:rFonts w:ascii="Times New Roman" w:hAnsi="Times New Roman"/>
              </w:rPr>
              <w:t xml:space="preserve"> (</w:t>
            </w:r>
            <w:r w:rsidR="00065910" w:rsidRPr="00065910">
              <w:rPr>
                <w:rFonts w:ascii="Times New Roman" w:hAnsi="Times New Roman"/>
              </w:rPr>
              <w:t>http://eqworld.ipmnet.ru/ru/library/books/Bolotin1961ru.djvu</w:t>
            </w:r>
            <w:r w:rsidR="00065910">
              <w:rPr>
                <w:rFonts w:ascii="Times New Roman" w:hAnsi="Times New Roman"/>
              </w:rPr>
              <w:t>)</w:t>
            </w:r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065910" w:rsidRDefault="00065910" w:rsidP="008105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910">
              <w:rPr>
                <w:rFonts w:ascii="Times New Roman" w:hAnsi="Times New Roman"/>
                <w:color w:val="000000"/>
              </w:rPr>
              <w:t>Вольмир</w:t>
            </w:r>
            <w:proofErr w:type="spellEnd"/>
            <w:r w:rsidRPr="00065910">
              <w:rPr>
                <w:rFonts w:ascii="Times New Roman" w:hAnsi="Times New Roman"/>
                <w:color w:val="000000"/>
              </w:rPr>
              <w:t xml:space="preserve"> А.С. Устойчивость деформируемых систем (2-е изд.). М.: Наука, 1967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Pr="00065910">
              <w:rPr>
                <w:rFonts w:ascii="Times New Roman" w:hAnsi="Times New Roman"/>
                <w:color w:val="000000"/>
              </w:rPr>
              <w:t>http://eqworld.ipmnet.ru/ru/library/books/Volmir1967ru.djvu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3E6F04" w:rsidRDefault="003E6F04" w:rsidP="003E6F04">
            <w:pPr>
              <w:pStyle w:val="a6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6F04">
              <w:rPr>
                <w:rFonts w:ascii="Times New Roman" w:hAnsi="Times New Roman"/>
              </w:rPr>
              <w:t>http://eqworld.ipmnet.ru/ru/library/mechanics/solid.htm</w:t>
            </w:r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P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</w:t>
      </w:r>
      <w:r w:rsidR="003E6F04">
        <w:rPr>
          <w:rFonts w:ascii="Times New Roman" w:hAnsi="Times New Roman"/>
          <w:sz w:val="24"/>
          <w:szCs w:val="24"/>
          <w:u w:val="single"/>
        </w:rPr>
        <w:t>2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E6F04">
        <w:rPr>
          <w:rFonts w:ascii="Times New Roman" w:hAnsi="Times New Roman"/>
          <w:sz w:val="24"/>
          <w:szCs w:val="24"/>
          <w:u w:val="single"/>
        </w:rPr>
        <w:t>Прикладная математика и информатика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3E6F04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к.</w:t>
            </w:r>
            <w:r w:rsidR="003E6F04">
              <w:rPr>
                <w:rFonts w:ascii="Times New Roman" w:eastAsia="Calibri" w:hAnsi="Times New Roman"/>
                <w:sz w:val="20"/>
                <w:szCs w:val="20"/>
              </w:rPr>
              <w:t>ф.-м.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3E6F04">
              <w:rPr>
                <w:rFonts w:ascii="Times New Roman" w:eastAsia="Calibri" w:hAnsi="Times New Roman"/>
                <w:sz w:val="20"/>
                <w:szCs w:val="20"/>
              </w:rPr>
              <w:t>Капитанов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E6F04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>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0931AA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549" w:rsidRPr="000931AA" w:rsidRDefault="004E054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549" w:rsidRPr="000931AA" w:rsidRDefault="004E054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549" w:rsidRPr="000931AA" w:rsidRDefault="004E054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549" w:rsidRPr="000931AA" w:rsidRDefault="004E054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549" w:rsidRPr="00241EFA" w:rsidRDefault="004E0549" w:rsidP="004E054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4E0549" w:rsidRPr="00241EFA" w:rsidRDefault="004E0549" w:rsidP="004E054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4E0549" w:rsidRPr="00241EFA" w:rsidRDefault="004E0549" w:rsidP="004E0549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4E0549" w:rsidRPr="004E0549" w:rsidRDefault="004E0549" w:rsidP="00BC2D6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E0549" w:rsidRPr="004E0549" w:rsidSect="000C68B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2E" w:rsidRDefault="004B7C2E">
      <w:r>
        <w:separator/>
      </w:r>
    </w:p>
  </w:endnote>
  <w:endnote w:type="continuationSeparator" w:id="0">
    <w:p w:rsidR="004B7C2E" w:rsidRDefault="004B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A" w:rsidRDefault="000C150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150A" w:rsidRDefault="000C150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A" w:rsidRPr="00C735AE" w:rsidRDefault="000C150A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466F16">
      <w:rPr>
        <w:rStyle w:val="a8"/>
        <w:rFonts w:ascii="Times New Roman" w:hAnsi="Times New Roman"/>
        <w:noProof/>
        <w:sz w:val="24"/>
        <w:szCs w:val="24"/>
      </w:rPr>
      <w:t>8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0C150A" w:rsidRPr="00C735AE" w:rsidRDefault="000C150A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A" w:rsidRPr="00C735AE" w:rsidRDefault="000C150A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2E" w:rsidRDefault="004B7C2E">
      <w:r>
        <w:separator/>
      </w:r>
    </w:p>
  </w:footnote>
  <w:footnote w:type="continuationSeparator" w:id="0">
    <w:p w:rsidR="004B7C2E" w:rsidRDefault="004B7C2E">
      <w:r>
        <w:continuationSeparator/>
      </w:r>
    </w:p>
  </w:footnote>
  <w:footnote w:id="1">
    <w:p w:rsidR="000C150A" w:rsidRPr="009719EF" w:rsidRDefault="000C150A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0C150A" w:rsidRPr="009719EF" w:rsidRDefault="000C150A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A" w:rsidRPr="00C735AE" w:rsidRDefault="000C150A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A" w:rsidRPr="00C735AE" w:rsidRDefault="000C150A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2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1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4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2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4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5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6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8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8"/>
  </w:num>
  <w:num w:numId="2">
    <w:abstractNumId w:val="39"/>
  </w:num>
  <w:num w:numId="3">
    <w:abstractNumId w:val="27"/>
  </w:num>
  <w:num w:numId="4">
    <w:abstractNumId w:val="26"/>
  </w:num>
  <w:num w:numId="5">
    <w:abstractNumId w:val="10"/>
  </w:num>
  <w:num w:numId="6">
    <w:abstractNumId w:val="41"/>
  </w:num>
  <w:num w:numId="7">
    <w:abstractNumId w:val="22"/>
  </w:num>
  <w:num w:numId="8">
    <w:abstractNumId w:val="20"/>
  </w:num>
  <w:num w:numId="9">
    <w:abstractNumId w:val="31"/>
  </w:num>
  <w:num w:numId="10">
    <w:abstractNumId w:val="38"/>
  </w:num>
  <w:num w:numId="11">
    <w:abstractNumId w:val="19"/>
  </w:num>
  <w:num w:numId="12">
    <w:abstractNumId w:val="37"/>
  </w:num>
  <w:num w:numId="13">
    <w:abstractNumId w:val="29"/>
  </w:num>
  <w:num w:numId="14">
    <w:abstractNumId w:val="30"/>
  </w:num>
  <w:num w:numId="15">
    <w:abstractNumId w:val="14"/>
  </w:num>
  <w:num w:numId="16">
    <w:abstractNumId w:val="16"/>
  </w:num>
  <w:num w:numId="17">
    <w:abstractNumId w:val="23"/>
  </w:num>
  <w:num w:numId="18">
    <w:abstractNumId w:val="13"/>
  </w:num>
  <w:num w:numId="19">
    <w:abstractNumId w:val="17"/>
  </w:num>
  <w:num w:numId="20">
    <w:abstractNumId w:val="3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1"/>
  </w:num>
  <w:num w:numId="33">
    <w:abstractNumId w:val="33"/>
  </w:num>
  <w:num w:numId="34">
    <w:abstractNumId w:val="15"/>
  </w:num>
  <w:num w:numId="35">
    <w:abstractNumId w:val="35"/>
  </w:num>
  <w:num w:numId="36">
    <w:abstractNumId w:val="2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5910"/>
    <w:rsid w:val="00066E4A"/>
    <w:rsid w:val="00077C94"/>
    <w:rsid w:val="00093090"/>
    <w:rsid w:val="000931AA"/>
    <w:rsid w:val="00095B91"/>
    <w:rsid w:val="000B1C49"/>
    <w:rsid w:val="000B6195"/>
    <w:rsid w:val="000C150A"/>
    <w:rsid w:val="000C1994"/>
    <w:rsid w:val="000C2BAD"/>
    <w:rsid w:val="000C68BF"/>
    <w:rsid w:val="000F2EF1"/>
    <w:rsid w:val="0010364D"/>
    <w:rsid w:val="001176B5"/>
    <w:rsid w:val="00130028"/>
    <w:rsid w:val="00135C99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0548B"/>
    <w:rsid w:val="002141BE"/>
    <w:rsid w:val="00227E79"/>
    <w:rsid w:val="00235C9B"/>
    <w:rsid w:val="00237611"/>
    <w:rsid w:val="00242B00"/>
    <w:rsid w:val="00274F2B"/>
    <w:rsid w:val="00292A4E"/>
    <w:rsid w:val="00293515"/>
    <w:rsid w:val="002A1EB5"/>
    <w:rsid w:val="002B2163"/>
    <w:rsid w:val="002C26D7"/>
    <w:rsid w:val="002D6F27"/>
    <w:rsid w:val="002E3A25"/>
    <w:rsid w:val="003078C1"/>
    <w:rsid w:val="0031106E"/>
    <w:rsid w:val="00324F8D"/>
    <w:rsid w:val="00327E30"/>
    <w:rsid w:val="00333445"/>
    <w:rsid w:val="003416CD"/>
    <w:rsid w:val="003424CA"/>
    <w:rsid w:val="00343BCA"/>
    <w:rsid w:val="00352379"/>
    <w:rsid w:val="00380B09"/>
    <w:rsid w:val="00381341"/>
    <w:rsid w:val="003823C1"/>
    <w:rsid w:val="00382F8E"/>
    <w:rsid w:val="0038490F"/>
    <w:rsid w:val="00387EC5"/>
    <w:rsid w:val="003962B2"/>
    <w:rsid w:val="003A454B"/>
    <w:rsid w:val="003A5933"/>
    <w:rsid w:val="003C0479"/>
    <w:rsid w:val="003E0A17"/>
    <w:rsid w:val="003E37E8"/>
    <w:rsid w:val="003E4571"/>
    <w:rsid w:val="003E46F7"/>
    <w:rsid w:val="003E5334"/>
    <w:rsid w:val="003E6CA9"/>
    <w:rsid w:val="003E6F04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6F16"/>
    <w:rsid w:val="0046760F"/>
    <w:rsid w:val="00467DED"/>
    <w:rsid w:val="00477260"/>
    <w:rsid w:val="0048681E"/>
    <w:rsid w:val="004875A9"/>
    <w:rsid w:val="004B76EF"/>
    <w:rsid w:val="004B7C2E"/>
    <w:rsid w:val="004C674C"/>
    <w:rsid w:val="004C6F07"/>
    <w:rsid w:val="004D67FE"/>
    <w:rsid w:val="004D6B23"/>
    <w:rsid w:val="004E0549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55A05"/>
    <w:rsid w:val="0056375A"/>
    <w:rsid w:val="005A2253"/>
    <w:rsid w:val="005A59A6"/>
    <w:rsid w:val="005B2D4E"/>
    <w:rsid w:val="005C18AF"/>
    <w:rsid w:val="005D091B"/>
    <w:rsid w:val="005D273F"/>
    <w:rsid w:val="005D7652"/>
    <w:rsid w:val="005E017B"/>
    <w:rsid w:val="005E4FA2"/>
    <w:rsid w:val="005F440A"/>
    <w:rsid w:val="005F5E0A"/>
    <w:rsid w:val="00600964"/>
    <w:rsid w:val="0061005D"/>
    <w:rsid w:val="00613AEE"/>
    <w:rsid w:val="00614340"/>
    <w:rsid w:val="00622100"/>
    <w:rsid w:val="00623144"/>
    <w:rsid w:val="00636AF2"/>
    <w:rsid w:val="006522DC"/>
    <w:rsid w:val="00654A47"/>
    <w:rsid w:val="0067366E"/>
    <w:rsid w:val="00673913"/>
    <w:rsid w:val="00680013"/>
    <w:rsid w:val="0068426A"/>
    <w:rsid w:val="00694A0C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02B4"/>
    <w:rsid w:val="006F62D7"/>
    <w:rsid w:val="00701ACF"/>
    <w:rsid w:val="00702BEB"/>
    <w:rsid w:val="00702F8A"/>
    <w:rsid w:val="00707E03"/>
    <w:rsid w:val="0071595E"/>
    <w:rsid w:val="00726F5F"/>
    <w:rsid w:val="00734279"/>
    <w:rsid w:val="007379E9"/>
    <w:rsid w:val="00751242"/>
    <w:rsid w:val="00755F78"/>
    <w:rsid w:val="0076502C"/>
    <w:rsid w:val="007716F9"/>
    <w:rsid w:val="00781485"/>
    <w:rsid w:val="00786EFA"/>
    <w:rsid w:val="00794DBD"/>
    <w:rsid w:val="00797CEF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F4F6B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8F347B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6713D"/>
    <w:rsid w:val="009719EF"/>
    <w:rsid w:val="0098423A"/>
    <w:rsid w:val="00991BDB"/>
    <w:rsid w:val="009A3F7E"/>
    <w:rsid w:val="009B255B"/>
    <w:rsid w:val="009B2923"/>
    <w:rsid w:val="009B3F55"/>
    <w:rsid w:val="009B6DC1"/>
    <w:rsid w:val="009D72AB"/>
    <w:rsid w:val="009E65E1"/>
    <w:rsid w:val="009F2D44"/>
    <w:rsid w:val="00A103D2"/>
    <w:rsid w:val="00A118E7"/>
    <w:rsid w:val="00A2471B"/>
    <w:rsid w:val="00A26A70"/>
    <w:rsid w:val="00A30044"/>
    <w:rsid w:val="00A357FF"/>
    <w:rsid w:val="00A35D59"/>
    <w:rsid w:val="00A55147"/>
    <w:rsid w:val="00A63BDA"/>
    <w:rsid w:val="00A64F19"/>
    <w:rsid w:val="00A654BB"/>
    <w:rsid w:val="00A6696A"/>
    <w:rsid w:val="00A83D3B"/>
    <w:rsid w:val="00A856CF"/>
    <w:rsid w:val="00AA0BE9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35E2"/>
    <w:rsid w:val="00B26C74"/>
    <w:rsid w:val="00B366FF"/>
    <w:rsid w:val="00B60800"/>
    <w:rsid w:val="00B748B7"/>
    <w:rsid w:val="00B80F7A"/>
    <w:rsid w:val="00B82C64"/>
    <w:rsid w:val="00B85C23"/>
    <w:rsid w:val="00B90675"/>
    <w:rsid w:val="00B95AF7"/>
    <w:rsid w:val="00BA46AC"/>
    <w:rsid w:val="00BA5B67"/>
    <w:rsid w:val="00BA5CA1"/>
    <w:rsid w:val="00BC2D67"/>
    <w:rsid w:val="00BD65DC"/>
    <w:rsid w:val="00C2780B"/>
    <w:rsid w:val="00C324F1"/>
    <w:rsid w:val="00C33E34"/>
    <w:rsid w:val="00C54D2C"/>
    <w:rsid w:val="00C65B06"/>
    <w:rsid w:val="00C735AE"/>
    <w:rsid w:val="00C92B94"/>
    <w:rsid w:val="00CA6632"/>
    <w:rsid w:val="00D00C4F"/>
    <w:rsid w:val="00D2205C"/>
    <w:rsid w:val="00D223AB"/>
    <w:rsid w:val="00D25FA8"/>
    <w:rsid w:val="00D35118"/>
    <w:rsid w:val="00D442AC"/>
    <w:rsid w:val="00D46F44"/>
    <w:rsid w:val="00D76CA7"/>
    <w:rsid w:val="00D8624A"/>
    <w:rsid w:val="00DA5574"/>
    <w:rsid w:val="00DC0331"/>
    <w:rsid w:val="00DC221F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4B00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106B6"/>
    <w:rsid w:val="00F11A86"/>
    <w:rsid w:val="00F3042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C65B06"/>
    <w:rPr>
      <w:rFonts w:ascii="Cambria" w:hAnsi="Cambria" w:cs="Cambria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3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C65B06"/>
    <w:rPr>
      <w:rFonts w:ascii="Cambria" w:hAnsi="Cambria" w:cs="Cambria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3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www.unn.ru/books/met_files/dynamic.doc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CAC6F37A-8456-4A1D-B501-EF8ECECC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Anna Kotova</cp:lastModifiedBy>
  <cp:revision>28</cp:revision>
  <cp:lastPrinted>2015-07-16T08:02:00Z</cp:lastPrinted>
  <dcterms:created xsi:type="dcterms:W3CDTF">2019-04-02T12:26:00Z</dcterms:created>
  <dcterms:modified xsi:type="dcterms:W3CDTF">2021-03-18T12:37:00Z</dcterms:modified>
</cp:coreProperties>
</file>