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8"/>
        <w:gridCol w:w="284"/>
        <w:gridCol w:w="299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многообразий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Геометрия многообразий</w:t>
      </w:r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Б1.В.ДВ.03.01).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«Геометрия многообразий» является формирование математической культуры студента, фундаментальная подготовка по основным разделам теории гладких многообразий и геометрических структур на них,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«Геометрия многообразий»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ч., из которых 32 ч. составляет контактная работа обучающегося с преподавателем (30 ч. занятий лекционного типа, 2 часа промежуточной аттестации), 76 ч. составляет самостоятельная работа обучающегося (в т.ч. 36 часов подготовки к экзамену).</w:t>
      </w:r>
    </w:p>
    <w:p>
      <w:pPr>
        <w:pStyle w:val="Normal"/>
        <w:spacing w:before="0" w:after="0"/>
        <w:ind w:firstLine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65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3" w:type="dxa"/>
          <w:bottom w:w="28" w:type="dxa"/>
          <w:right w:w="28" w:type="dxa"/>
        </w:tblCellMar>
        <w:tblLook w:val="01e0"/>
      </w:tblPr>
      <w:tblGrid>
        <w:gridCol w:w="313"/>
        <w:gridCol w:w="10125"/>
        <w:gridCol w:w="326"/>
        <w:gridCol w:w="416"/>
        <w:gridCol w:w="589"/>
        <w:gridCol w:w="591"/>
        <w:gridCol w:w="590"/>
        <w:gridCol w:w="591"/>
        <w:gridCol w:w="587"/>
        <w:gridCol w:w="2"/>
        <w:gridCol w:w="520"/>
      </w:tblGrid>
      <w:tr>
        <w:trPr>
          <w:trHeight w:val="201" w:hRule="atLeast"/>
          <w:cantSplit w:val="true"/>
        </w:trPr>
        <w:tc>
          <w:tcPr>
            <w:tcW w:w="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889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Самостоятельнассамостоятельная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 и гладкие отображения.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Ориентации и ориентируемость.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 Ориентируемость неявно заданных многообразий и групп Ли. Примеры неориентируемых многообразий.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 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1871" w:hRule="atLeast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геометрические структуры на многообразиях.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Внутренняя метрика.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1871" w:hRule="atLeast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3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экзамена.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71"/>
        <w:gridCol w:w="811"/>
        <w:gridCol w:w="1471"/>
        <w:gridCol w:w="1329"/>
        <w:gridCol w:w="1179"/>
        <w:gridCol w:w="1238"/>
        <w:gridCol w:w="1179"/>
        <w:gridCol w:w="1191"/>
      </w:tblGrid>
      <w:tr>
        <w:trPr/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>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33"/>
        <w:gridCol w:w="807"/>
        <w:gridCol w:w="1464"/>
        <w:gridCol w:w="1323"/>
        <w:gridCol w:w="1125"/>
        <w:gridCol w:w="1266"/>
        <w:gridCol w:w="1267"/>
        <w:gridCol w:w="1184"/>
      </w:tblGrid>
      <w:tr>
        <w:trPr/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4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обнаруживать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>
      <w:pPr>
        <w:pStyle w:val="ListParagraph"/>
        <w:spacing w:before="0" w:after="0"/>
        <w:ind w:left="-142" w:right="-425" w:hanging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ListParagraph"/>
        <w:spacing w:before="0" w:after="0"/>
        <w:ind w:left="-142" w:right="-425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3" w:type="dxa"/>
          <w:bottom w:w="28" w:type="dxa"/>
          <w:right w:w="28" w:type="dxa"/>
        </w:tblCellMar>
        <w:tblLook w:val="0000"/>
      </w:tblPr>
      <w:tblGrid>
        <w:gridCol w:w="2800"/>
        <w:gridCol w:w="6544"/>
      </w:tblGrid>
      <w:tr>
        <w:trPr>
          <w:trHeight w:val="33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ценки «превосходно», «отлично», «очень хорошо», «хорошо», «удовлетворительно» считаются положительными.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7485" cy="1981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8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5.6pt;mso-wrap-distance-left:9pt;mso-wrap-distance-right:9pt;mso-wrap-distance-top:0pt;mso-wrap-distance-bottom:0pt;margin-top:72.05pt;mso-position-vertical-relative:text;margin-left:716.4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>- собеседование.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Геометрия многообразий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77"/>
        <w:gridCol w:w="2767"/>
      </w:tblGrid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определенное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экзамен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 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Геометрия многообразий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определено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>
      <w:pPr>
        <w:pStyle w:val="Heading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Геометрия многообразий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многообразию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 точке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pBdr>
          <w:bottom w:val="single" w:sz="6" w:space="1" w:color="00000A"/>
        </w:pBdr>
        <w:overflowPunct w:val="true"/>
        <w:spacing w:before="0" w:after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bookmarkStart w:id="1" w:name="__DdeLink__3838_3285932093"/>
      <w:bookmarkEnd w:id="1"/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rPr/>
      </w:pPr>
      <w:bookmarkStart w:id="2" w:name="__DdeLink__3838_32859320931"/>
      <w:bookmarkEnd w:id="2"/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244c37"/>
    <w:rPr>
      <w:rFonts w:cs="Courier New"/>
    </w:rPr>
  </w:style>
  <w:style w:type="character" w:styleId="ListLabel2" w:customStyle="1">
    <w:name w:val="ListLabel 2"/>
    <w:qFormat/>
    <w:rsid w:val="00244c37"/>
    <w:rPr>
      <w:rFonts w:cs="Courier New"/>
    </w:rPr>
  </w:style>
  <w:style w:type="character" w:styleId="ListLabel3" w:customStyle="1">
    <w:name w:val="ListLabel 3"/>
    <w:qFormat/>
    <w:rsid w:val="00244c37"/>
    <w:rPr>
      <w:rFonts w:cs="Courier New"/>
    </w:rPr>
  </w:style>
  <w:style w:type="character" w:styleId="ListLabel4" w:customStyle="1">
    <w:name w:val="ListLabel 4"/>
    <w:qFormat/>
    <w:rsid w:val="00244c37"/>
    <w:rPr>
      <w:color w:val="00000A"/>
    </w:rPr>
  </w:style>
  <w:style w:type="character" w:styleId="ListLabel5" w:customStyle="1">
    <w:name w:val="ListLabel 5"/>
    <w:qFormat/>
    <w:rsid w:val="00244c37"/>
    <w:rPr>
      <w:i w:val="false"/>
    </w:rPr>
  </w:style>
  <w:style w:type="character" w:styleId="ListLabel6" w:customStyle="1">
    <w:name w:val="ListLabel 6"/>
    <w:qFormat/>
    <w:rsid w:val="00244c37"/>
    <w:rPr>
      <w:i w:val="false"/>
    </w:rPr>
  </w:style>
  <w:style w:type="character" w:styleId="ListLabel7" w:customStyle="1">
    <w:name w:val="ListLabel 7"/>
    <w:qFormat/>
    <w:rsid w:val="00244c37"/>
    <w:rPr>
      <w:i w:val="false"/>
    </w:rPr>
  </w:style>
  <w:style w:type="character" w:styleId="ListLabel8" w:customStyle="1">
    <w:name w:val="ListLabel 8"/>
    <w:qFormat/>
    <w:rsid w:val="00244c37"/>
    <w:rPr>
      <w:i w:val="false"/>
    </w:rPr>
  </w:style>
  <w:style w:type="character" w:styleId="ListLabel9" w:customStyle="1">
    <w:name w:val="ListLabel 9"/>
    <w:qFormat/>
    <w:rsid w:val="00244c37"/>
    <w:rPr>
      <w:i w:val="false"/>
    </w:rPr>
  </w:style>
  <w:style w:type="character" w:styleId="ListLabel10" w:customStyle="1">
    <w:name w:val="ListLabel 10"/>
    <w:qFormat/>
    <w:rsid w:val="00244c37"/>
    <w:rPr>
      <w:i w:val="false"/>
    </w:rPr>
  </w:style>
  <w:style w:type="character" w:styleId="ListLabel11" w:customStyle="1">
    <w:name w:val="ListLabel 11"/>
    <w:qFormat/>
    <w:rsid w:val="00244c37"/>
    <w:rPr>
      <w:i w:val="false"/>
    </w:rPr>
  </w:style>
  <w:style w:type="character" w:styleId="ListLabel12" w:customStyle="1">
    <w:name w:val="ListLabel 12"/>
    <w:qFormat/>
    <w:rsid w:val="00244c37"/>
    <w:rPr>
      <w:i w:val="false"/>
    </w:rPr>
  </w:style>
  <w:style w:type="character" w:styleId="ListLabel13" w:customStyle="1">
    <w:name w:val="ListLabel 13"/>
    <w:qFormat/>
    <w:rsid w:val="00244c37"/>
    <w:rPr>
      <w:rFonts w:cs="Courier New"/>
    </w:rPr>
  </w:style>
  <w:style w:type="character" w:styleId="ListLabel14" w:customStyle="1">
    <w:name w:val="ListLabel 14"/>
    <w:qFormat/>
    <w:rsid w:val="00244c37"/>
    <w:rPr>
      <w:rFonts w:cs="Courier New"/>
    </w:rPr>
  </w:style>
  <w:style w:type="character" w:styleId="ListLabel15" w:customStyle="1">
    <w:name w:val="ListLabel 15"/>
    <w:qFormat/>
    <w:rsid w:val="00244c37"/>
    <w:rPr>
      <w:rFonts w:cs="Courier New"/>
    </w:rPr>
  </w:style>
  <w:style w:type="character" w:styleId="ListLabel16" w:customStyle="1">
    <w:name w:val="ListLabel 16"/>
    <w:qFormat/>
    <w:rsid w:val="00244c37"/>
    <w:rPr>
      <w:rFonts w:eastAsia="Calibri" w:cs="Times New Roman"/>
    </w:rPr>
  </w:style>
  <w:style w:type="character" w:styleId="ListLabel17" w:customStyle="1">
    <w:name w:val="ListLabel 17"/>
    <w:qFormat/>
    <w:rsid w:val="00244c37"/>
    <w:rPr>
      <w:rFonts w:cs="Courier New"/>
    </w:rPr>
  </w:style>
  <w:style w:type="character" w:styleId="ListLabel18" w:customStyle="1">
    <w:name w:val="ListLabel 18"/>
    <w:qFormat/>
    <w:rsid w:val="00244c37"/>
    <w:rPr>
      <w:rFonts w:cs="Courier New"/>
    </w:rPr>
  </w:style>
  <w:style w:type="character" w:styleId="ListLabel19" w:customStyle="1">
    <w:name w:val="ListLabel 19"/>
    <w:qFormat/>
    <w:rsid w:val="00244c37"/>
    <w:rPr>
      <w:rFonts w:cs="Courier New"/>
    </w:rPr>
  </w:style>
  <w:style w:type="character" w:styleId="ListLabel20" w:customStyle="1">
    <w:name w:val="ListLabel 20"/>
    <w:qFormat/>
    <w:rsid w:val="00244c37"/>
    <w:rPr>
      <w:rFonts w:eastAsia="Calibri" w:cs="Times New Roman"/>
    </w:rPr>
  </w:style>
  <w:style w:type="character" w:styleId="ListLabel21" w:customStyle="1">
    <w:name w:val="ListLabel 21"/>
    <w:qFormat/>
    <w:rsid w:val="00244c37"/>
    <w:rPr>
      <w:rFonts w:cs="Courier New"/>
    </w:rPr>
  </w:style>
  <w:style w:type="character" w:styleId="ListLabel22" w:customStyle="1">
    <w:name w:val="ListLabel 22"/>
    <w:qFormat/>
    <w:rsid w:val="00244c37"/>
    <w:rPr>
      <w:rFonts w:cs="Courier New"/>
    </w:rPr>
  </w:style>
  <w:style w:type="character" w:styleId="ListLabel23" w:customStyle="1">
    <w:name w:val="ListLabel 23"/>
    <w:qFormat/>
    <w:rsid w:val="00244c37"/>
    <w:rPr>
      <w:rFonts w:cs="Courier New"/>
    </w:rPr>
  </w:style>
  <w:style w:type="character" w:styleId="ListLabel24" w:customStyle="1">
    <w:name w:val="ListLabel 24"/>
    <w:qFormat/>
    <w:rsid w:val="00244c37"/>
    <w:rPr>
      <w:sz w:val="24"/>
      <w:szCs w:val="24"/>
    </w:rPr>
  </w:style>
  <w:style w:type="character" w:styleId="ListLabel25" w:customStyle="1">
    <w:name w:val="ListLabel 25"/>
    <w:qFormat/>
    <w:rsid w:val="00244c37"/>
    <w:rPr>
      <w:b/>
    </w:rPr>
  </w:style>
  <w:style w:type="character" w:styleId="ListLabel26" w:customStyle="1">
    <w:name w:val="ListLabel 26"/>
    <w:qFormat/>
    <w:rsid w:val="00244c37"/>
    <w:rPr>
      <w:sz w:val="24"/>
      <w:szCs w:val="24"/>
    </w:rPr>
  </w:style>
  <w:style w:type="character" w:styleId="ListLabel27" w:customStyle="1">
    <w:name w:val="ListLabel 27"/>
    <w:qFormat/>
    <w:rsid w:val="00244c37"/>
    <w:rPr>
      <w:sz w:val="24"/>
      <w:szCs w:val="24"/>
    </w:rPr>
  </w:style>
  <w:style w:type="character" w:styleId="ListLabel28" w:customStyle="1">
    <w:name w:val="ListLabel 28"/>
    <w:qFormat/>
    <w:rsid w:val="00244c37"/>
    <w:rPr>
      <w:sz w:val="24"/>
      <w:szCs w:val="24"/>
    </w:rPr>
  </w:style>
  <w:style w:type="character" w:styleId="ListLabel29" w:customStyle="1">
    <w:name w:val="ListLabel 29"/>
    <w:qFormat/>
    <w:rsid w:val="00244c37"/>
    <w:rPr>
      <w:sz w:val="24"/>
      <w:szCs w:val="24"/>
    </w:rPr>
  </w:style>
  <w:style w:type="character" w:styleId="ListLabel30" w:customStyle="1">
    <w:name w:val="ListLabel 30"/>
    <w:qFormat/>
    <w:rsid w:val="00244c37"/>
    <w:rPr>
      <w:sz w:val="24"/>
      <w:szCs w:val="24"/>
    </w:rPr>
  </w:style>
  <w:style w:type="character" w:styleId="ListLabel31" w:customStyle="1">
    <w:name w:val="ListLabel 31"/>
    <w:qFormat/>
    <w:rsid w:val="00244c37"/>
    <w:rPr>
      <w:b w:val="false"/>
    </w:rPr>
  </w:style>
  <w:style w:type="character" w:styleId="ListLabel32" w:customStyle="1">
    <w:name w:val="ListLabel 32"/>
    <w:qFormat/>
    <w:rsid w:val="00244c37"/>
    <w:rPr>
      <w:color w:val="00000A"/>
    </w:rPr>
  </w:style>
  <w:style w:type="character" w:styleId="ListLabel33" w:customStyle="1">
    <w:name w:val="ListLabel 33"/>
    <w:qFormat/>
    <w:rsid w:val="00244c37"/>
    <w:rPr>
      <w:i w:val="false"/>
    </w:rPr>
  </w:style>
  <w:style w:type="character" w:styleId="ListLabel34" w:customStyle="1">
    <w:name w:val="ListLabel 34"/>
    <w:qFormat/>
    <w:rsid w:val="00244c37"/>
    <w:rPr>
      <w:i w:val="false"/>
    </w:rPr>
  </w:style>
  <w:style w:type="character" w:styleId="ListLabel35" w:customStyle="1">
    <w:name w:val="ListLabel 35"/>
    <w:qFormat/>
    <w:rsid w:val="00244c37"/>
    <w:rPr>
      <w:i w:val="false"/>
    </w:rPr>
  </w:style>
  <w:style w:type="character" w:styleId="ListLabel36" w:customStyle="1">
    <w:name w:val="ListLabel 36"/>
    <w:qFormat/>
    <w:rsid w:val="00244c37"/>
    <w:rPr>
      <w:i w:val="false"/>
    </w:rPr>
  </w:style>
  <w:style w:type="character" w:styleId="ListLabel37" w:customStyle="1">
    <w:name w:val="ListLabel 37"/>
    <w:qFormat/>
    <w:rsid w:val="00244c37"/>
    <w:rPr>
      <w:i w:val="false"/>
    </w:rPr>
  </w:style>
  <w:style w:type="character" w:styleId="ListLabel38" w:customStyle="1">
    <w:name w:val="ListLabel 38"/>
    <w:qFormat/>
    <w:rsid w:val="00244c37"/>
    <w:rPr>
      <w:i w:val="false"/>
    </w:rPr>
  </w:style>
  <w:style w:type="character" w:styleId="ListLabel39" w:customStyle="1">
    <w:name w:val="ListLabel 39"/>
    <w:qFormat/>
    <w:rsid w:val="00244c37"/>
    <w:rPr>
      <w:i w:val="false"/>
    </w:rPr>
  </w:style>
  <w:style w:type="character" w:styleId="ListLabel40" w:customStyle="1">
    <w:name w:val="ListLabel 40"/>
    <w:qFormat/>
    <w:rsid w:val="00244c37"/>
    <w:rPr>
      <w:i w:val="false"/>
    </w:rPr>
  </w:style>
  <w:style w:type="character" w:styleId="ListLabel41" w:customStyle="1">
    <w:name w:val="ListLabel 41"/>
    <w:qFormat/>
    <w:rsid w:val="00244c37"/>
    <w:rPr>
      <w:b w:val="false"/>
    </w:rPr>
  </w:style>
  <w:style w:type="character" w:styleId="ListLabel42" w:customStyle="1">
    <w:name w:val="ListLabel 42"/>
    <w:qFormat/>
    <w:rsid w:val="00244c37"/>
    <w:rPr>
      <w:b w:val="false"/>
    </w:rPr>
  </w:style>
  <w:style w:type="character" w:styleId="ListLabel43" w:customStyle="1">
    <w:name w:val="ListLabel 43"/>
    <w:qFormat/>
    <w:rsid w:val="00244c37"/>
    <w:rPr>
      <w:b w:val="false"/>
    </w:rPr>
  </w:style>
  <w:style w:type="character" w:styleId="ListLabel44" w:customStyle="1">
    <w:name w:val="ListLabel 44"/>
    <w:qFormat/>
    <w:rsid w:val="00244c37"/>
    <w:rPr>
      <w:rFonts w:cs="Courier New"/>
    </w:rPr>
  </w:style>
  <w:style w:type="character" w:styleId="ListLabel45" w:customStyle="1">
    <w:name w:val="ListLabel 45"/>
    <w:qFormat/>
    <w:rsid w:val="00244c37"/>
    <w:rPr>
      <w:rFonts w:cs="Courier New"/>
    </w:rPr>
  </w:style>
  <w:style w:type="character" w:styleId="ListLabel46" w:customStyle="1">
    <w:name w:val="ListLabel 46"/>
    <w:qFormat/>
    <w:rsid w:val="00244c37"/>
    <w:rPr>
      <w:rFonts w:cs="Courier New"/>
    </w:rPr>
  </w:style>
  <w:style w:type="character" w:styleId="ListLabel47" w:customStyle="1">
    <w:name w:val="ListLabel 47"/>
    <w:qFormat/>
    <w:rsid w:val="00244c37"/>
    <w:rPr>
      <w:b/>
      <w:sz w:val="24"/>
    </w:rPr>
  </w:style>
  <w:style w:type="character" w:styleId="ListLabel48" w:customStyle="1">
    <w:name w:val="ListLabel 48"/>
    <w:qFormat/>
    <w:rsid w:val="00244c37"/>
    <w:rPr>
      <w:b/>
      <w:sz w:val="24"/>
    </w:rPr>
  </w:style>
  <w:style w:type="character" w:styleId="ListLabel49" w:customStyle="1">
    <w:name w:val="ListLabel 49"/>
    <w:qFormat/>
    <w:rsid w:val="00244c37"/>
    <w:rPr>
      <w:b/>
      <w:sz w:val="24"/>
    </w:rPr>
  </w:style>
  <w:style w:type="character" w:styleId="ListLabel50" w:customStyle="1">
    <w:name w:val="ListLabel 50"/>
    <w:qFormat/>
    <w:rsid w:val="00244c37"/>
    <w:rPr>
      <w:b/>
      <w:sz w:val="24"/>
    </w:rPr>
  </w:style>
  <w:style w:type="character" w:styleId="ListLabel51" w:customStyle="1">
    <w:name w:val="ListLabel 51"/>
    <w:qFormat/>
    <w:rsid w:val="00244c37"/>
    <w:rPr>
      <w:b/>
      <w:sz w:val="24"/>
    </w:rPr>
  </w:style>
  <w:style w:type="character" w:styleId="ListLabel52" w:customStyle="1">
    <w:name w:val="ListLabel 52"/>
    <w:qFormat/>
    <w:rsid w:val="00244c37"/>
    <w:rPr>
      <w:b/>
      <w:sz w:val="24"/>
    </w:rPr>
  </w:style>
  <w:style w:type="character" w:styleId="ListLabel53" w:customStyle="1">
    <w:name w:val="ListLabel 53"/>
    <w:qFormat/>
    <w:rsid w:val="00244c37"/>
    <w:rPr>
      <w:b/>
      <w:sz w:val="24"/>
    </w:rPr>
  </w:style>
  <w:style w:type="character" w:styleId="ListLabel54" w:customStyle="1">
    <w:name w:val="ListLabel 54"/>
    <w:qFormat/>
    <w:rsid w:val="00244c37"/>
    <w:rPr>
      <w:b/>
      <w:sz w:val="24"/>
    </w:rPr>
  </w:style>
  <w:style w:type="character" w:styleId="ListLabel55" w:customStyle="1">
    <w:name w:val="ListLabel 55"/>
    <w:qFormat/>
    <w:rsid w:val="00244c37"/>
    <w:rPr>
      <w:b/>
      <w:sz w:val="24"/>
    </w:rPr>
  </w:style>
  <w:style w:type="character" w:styleId="ListLabel56" w:customStyle="1">
    <w:name w:val="ListLabel 56"/>
    <w:qFormat/>
    <w:rsid w:val="00244c37"/>
    <w:rPr>
      <w:rFonts w:ascii="Times New Roman" w:hAnsi="Times New Roman" w:cs="Symbol"/>
      <w:sz w:val="24"/>
    </w:rPr>
  </w:style>
  <w:style w:type="character" w:styleId="ListLabel57" w:customStyle="1">
    <w:name w:val="ListLabel 57"/>
    <w:qFormat/>
    <w:rsid w:val="00244c37"/>
    <w:rPr>
      <w:rFonts w:cs="Courier New"/>
    </w:rPr>
  </w:style>
  <w:style w:type="character" w:styleId="ListLabel58" w:customStyle="1">
    <w:name w:val="ListLabel 58"/>
    <w:qFormat/>
    <w:rsid w:val="00244c37"/>
    <w:rPr>
      <w:rFonts w:cs="Wingdings"/>
    </w:rPr>
  </w:style>
  <w:style w:type="character" w:styleId="ListLabel59" w:customStyle="1">
    <w:name w:val="ListLabel 59"/>
    <w:qFormat/>
    <w:rsid w:val="00244c37"/>
    <w:rPr>
      <w:rFonts w:cs="Symbol"/>
    </w:rPr>
  </w:style>
  <w:style w:type="character" w:styleId="ListLabel60" w:customStyle="1">
    <w:name w:val="ListLabel 60"/>
    <w:qFormat/>
    <w:rsid w:val="00244c37"/>
    <w:rPr>
      <w:rFonts w:cs="Courier New"/>
    </w:rPr>
  </w:style>
  <w:style w:type="character" w:styleId="ListLabel61" w:customStyle="1">
    <w:name w:val="ListLabel 61"/>
    <w:qFormat/>
    <w:rsid w:val="00244c37"/>
    <w:rPr>
      <w:rFonts w:cs="Wingdings"/>
    </w:rPr>
  </w:style>
  <w:style w:type="character" w:styleId="ListLabel62" w:customStyle="1">
    <w:name w:val="ListLabel 62"/>
    <w:qFormat/>
    <w:rsid w:val="00244c37"/>
    <w:rPr>
      <w:rFonts w:cs="Symbol"/>
    </w:rPr>
  </w:style>
  <w:style w:type="character" w:styleId="ListLabel63" w:customStyle="1">
    <w:name w:val="ListLabel 63"/>
    <w:qFormat/>
    <w:rsid w:val="00244c37"/>
    <w:rPr>
      <w:rFonts w:cs="Courier New"/>
    </w:rPr>
  </w:style>
  <w:style w:type="character" w:styleId="ListLabel64" w:customStyle="1">
    <w:name w:val="ListLabel 64"/>
    <w:qFormat/>
    <w:rsid w:val="00244c37"/>
    <w:rPr>
      <w:rFonts w:cs="Wingdings"/>
    </w:rPr>
  </w:style>
  <w:style w:type="character" w:styleId="ListLabel65" w:customStyle="1">
    <w:name w:val="ListLabel 65"/>
    <w:qFormat/>
    <w:rsid w:val="00244c37"/>
    <w:rPr>
      <w:rFonts w:ascii="Times New Roman" w:hAnsi="Times New Roman" w:cs="Symbol"/>
      <w:sz w:val="24"/>
    </w:rPr>
  </w:style>
  <w:style w:type="character" w:styleId="ListLabel66" w:customStyle="1">
    <w:name w:val="ListLabel 66"/>
    <w:qFormat/>
    <w:rsid w:val="00244c37"/>
    <w:rPr>
      <w:rFonts w:cs="Courier New"/>
    </w:rPr>
  </w:style>
  <w:style w:type="character" w:styleId="ListLabel67" w:customStyle="1">
    <w:name w:val="ListLabel 67"/>
    <w:qFormat/>
    <w:rsid w:val="00244c37"/>
    <w:rPr>
      <w:rFonts w:cs="Wingdings"/>
    </w:rPr>
  </w:style>
  <w:style w:type="character" w:styleId="ListLabel68" w:customStyle="1">
    <w:name w:val="ListLabel 68"/>
    <w:qFormat/>
    <w:rsid w:val="00244c37"/>
    <w:rPr>
      <w:rFonts w:cs="Symbol"/>
    </w:rPr>
  </w:style>
  <w:style w:type="character" w:styleId="ListLabel69" w:customStyle="1">
    <w:name w:val="ListLabel 69"/>
    <w:qFormat/>
    <w:rsid w:val="00244c37"/>
    <w:rPr>
      <w:rFonts w:cs="Courier New"/>
    </w:rPr>
  </w:style>
  <w:style w:type="character" w:styleId="ListLabel70" w:customStyle="1">
    <w:name w:val="ListLabel 70"/>
    <w:qFormat/>
    <w:rsid w:val="00244c37"/>
    <w:rPr>
      <w:rFonts w:cs="Wingdings"/>
    </w:rPr>
  </w:style>
  <w:style w:type="character" w:styleId="ListLabel71" w:customStyle="1">
    <w:name w:val="ListLabel 71"/>
    <w:qFormat/>
    <w:rsid w:val="00244c37"/>
    <w:rPr>
      <w:rFonts w:cs="Symbol"/>
    </w:rPr>
  </w:style>
  <w:style w:type="character" w:styleId="ListLabel72" w:customStyle="1">
    <w:name w:val="ListLabel 72"/>
    <w:qFormat/>
    <w:rsid w:val="00244c37"/>
    <w:rPr>
      <w:rFonts w:cs="Courier New"/>
    </w:rPr>
  </w:style>
  <w:style w:type="character" w:styleId="ListLabel73" w:customStyle="1">
    <w:name w:val="ListLabel 73"/>
    <w:qFormat/>
    <w:rsid w:val="00244c37"/>
    <w:rPr>
      <w:rFonts w:cs="Wingdings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2b3e92"/>
    <w:rPr>
      <w:rFonts w:ascii="Tahoma" w:hAnsi="Tahoma" w:cs="Tahoma"/>
      <w:color w:val="00000A"/>
      <w:sz w:val="16"/>
      <w:szCs w:val="16"/>
      <w:lang w:eastAsia="ru-RU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244c37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244c37"/>
    <w:pPr>
      <w:spacing w:lineRule="auto" w:line="288" w:before="0" w:after="140"/>
    </w:pPr>
    <w:rPr/>
  </w:style>
  <w:style w:type="paragraph" w:styleId="List">
    <w:name w:val="List"/>
    <w:basedOn w:val="TextBody"/>
    <w:rsid w:val="00244c37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244c37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244c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00000A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244c37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2b3e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8DCE-9B26-4407-BF4F-A96CDCA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LibreOffice/6.0.2.1$Linux_X86_64 LibreOffice_project/00m0$Build-1</Application>
  <Pages>14</Pages>
  <Words>2259</Words>
  <Characters>16629</Characters>
  <CharactersWithSpaces>18733</CharactersWithSpaces>
  <Paragraphs>324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2018-02-27T16:27:00Z</dcterms:created>
  <dc:creator>Nikolai Yu. Zolotykh</dc:creator>
  <dc:description/>
  <dc:language>ru-RU</dc:language>
  <cp:lastModifiedBy/>
  <cp:lastPrinted>2016-09-20T14:17:00Z</cp:lastPrinted>
  <dcterms:modified xsi:type="dcterms:W3CDTF">2018-04-03T01:41:32Z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