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33114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 xml:space="preserve">МИНИСТЕРСТВО </w:t>
      </w:r>
      <w:r w:rsidR="006D720C" w:rsidRPr="00033114">
        <w:rPr>
          <w:rFonts w:ascii="Times New Roman" w:hAnsi="Times New Roman"/>
          <w:sz w:val="24"/>
          <w:szCs w:val="24"/>
        </w:rPr>
        <w:t xml:space="preserve">НАУКИ </w:t>
      </w:r>
      <w:r w:rsidR="003E0A17" w:rsidRPr="00033114">
        <w:rPr>
          <w:rFonts w:ascii="Times New Roman" w:hAnsi="Times New Roman"/>
          <w:sz w:val="24"/>
          <w:szCs w:val="24"/>
        </w:rPr>
        <w:t xml:space="preserve">И ВЫСШЕГО </w:t>
      </w:r>
      <w:r w:rsidRPr="00033114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33114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033114">
        <w:rPr>
          <w:rFonts w:ascii="Times New Roman" w:hAnsi="Times New Roman"/>
          <w:b/>
          <w:sz w:val="24"/>
          <w:szCs w:val="24"/>
        </w:rPr>
        <w:br/>
      </w:r>
      <w:r w:rsidRPr="0003311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331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033114">
        <w:rPr>
          <w:rFonts w:ascii="Times New Roman" w:hAnsi="Times New Roman"/>
          <w:sz w:val="24"/>
          <w:szCs w:val="24"/>
          <w:u w:val="single"/>
        </w:rPr>
        <w:br/>
      </w:r>
      <w:r w:rsidRPr="00033114">
        <w:rPr>
          <w:rFonts w:ascii="Times New Roman" w:hAnsi="Times New Roman"/>
          <w:b/>
          <w:sz w:val="24"/>
          <w:szCs w:val="24"/>
        </w:rPr>
        <w:t>«</w:t>
      </w:r>
      <w:r w:rsidR="00B05939" w:rsidRPr="00033114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33114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033114">
        <w:rPr>
          <w:rFonts w:ascii="Times New Roman" w:hAnsi="Times New Roman"/>
          <w:b/>
          <w:sz w:val="24"/>
          <w:szCs w:val="24"/>
        </w:rPr>
        <w:br/>
      </w:r>
      <w:r w:rsidRPr="00033114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033114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033114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532732" w:rsidTr="00532732">
        <w:trPr>
          <w:trHeight w:val="280"/>
        </w:trPr>
        <w:tc>
          <w:tcPr>
            <w:tcW w:w="4783" w:type="dxa"/>
            <w:vAlign w:val="center"/>
          </w:tcPr>
          <w:p w:rsidR="00532732" w:rsidRDefault="005327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32732" w:rsidTr="00532732">
        <w:trPr>
          <w:trHeight w:val="280"/>
        </w:trPr>
        <w:tc>
          <w:tcPr>
            <w:tcW w:w="4783" w:type="dxa"/>
            <w:vAlign w:val="center"/>
            <w:hideMark/>
          </w:tcPr>
          <w:p w:rsidR="00532732" w:rsidRDefault="00532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2732" w:rsidRDefault="00532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532732" w:rsidRDefault="00532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32732" w:rsidRDefault="005327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33114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114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 w:rsidTr="00B42F47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B42F47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ЧИСЛЕННОЕ РЕШЕНИЕ ЗАДАЧ СТРОИТЕЛЬНОЙ МЕХАНИКИ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033114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311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(</w:t>
      </w:r>
      <w:proofErr w:type="spellStart"/>
      <w:r w:rsidRPr="0003311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033114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033114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033114">
        <w:rPr>
          <w:rFonts w:ascii="Times New Roman" w:hAnsi="Times New Roman"/>
          <w:sz w:val="24"/>
          <w:szCs w:val="24"/>
        </w:rPr>
        <w:t>)</w:t>
      </w:r>
    </w:p>
    <w:p w:rsidR="00FA3935" w:rsidRPr="00033114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033114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033114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3311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033114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033114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33114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33114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  <w:u w:val="single"/>
        </w:rPr>
        <w:t> 20</w:t>
      </w:r>
      <w:r w:rsidR="00337D4E">
        <w:rPr>
          <w:rFonts w:ascii="Times New Roman" w:hAnsi="Times New Roman"/>
          <w:sz w:val="24"/>
          <w:szCs w:val="24"/>
          <w:u w:val="single"/>
        </w:rPr>
        <w:t>2</w:t>
      </w:r>
      <w:r w:rsidR="00532732">
        <w:rPr>
          <w:rFonts w:ascii="Times New Roman" w:hAnsi="Times New Roman"/>
          <w:sz w:val="24"/>
          <w:szCs w:val="24"/>
          <w:u w:val="single"/>
        </w:rPr>
        <w:t>1</w:t>
      </w:r>
      <w:r w:rsidRPr="00033114">
        <w:rPr>
          <w:rFonts w:ascii="Times New Roman" w:hAnsi="Times New Roman"/>
          <w:sz w:val="24"/>
          <w:szCs w:val="24"/>
          <w:u w:val="single"/>
        </w:rPr>
        <w:t> </w:t>
      </w:r>
      <w:r w:rsidR="009B6DC1" w:rsidRPr="00033114">
        <w:rPr>
          <w:rFonts w:ascii="Times New Roman" w:hAnsi="Times New Roman"/>
          <w:sz w:val="24"/>
          <w:szCs w:val="24"/>
        </w:rPr>
        <w:t>г</w:t>
      </w:r>
      <w:r w:rsidR="00F64CB8" w:rsidRPr="00033114">
        <w:rPr>
          <w:rFonts w:ascii="Times New Roman" w:hAnsi="Times New Roman"/>
          <w:sz w:val="24"/>
          <w:szCs w:val="24"/>
        </w:rPr>
        <w:t>од</w:t>
      </w:r>
    </w:p>
    <w:p w:rsidR="005D7652" w:rsidRPr="00033114" w:rsidRDefault="00F64CB8" w:rsidP="00532732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sz w:val="18"/>
          <w:szCs w:val="18"/>
        </w:rPr>
        <w:br w:type="page"/>
      </w:r>
      <w:r w:rsidR="00532732" w:rsidRPr="0003311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033114"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532732" w:rsidRDefault="00532732" w:rsidP="005327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sz w:val="24"/>
          <w:szCs w:val="24"/>
        </w:rPr>
        <w:t>Ч</w:t>
      </w:r>
      <w:r w:rsidRPr="00532732">
        <w:rPr>
          <w:rFonts w:ascii="Times New Roman" w:eastAsia="Calibri" w:hAnsi="Times New Roman"/>
          <w:sz w:val="24"/>
          <w:szCs w:val="24"/>
        </w:rPr>
        <w:t>исленное решение задач строительной механики</w:t>
      </w:r>
      <w:r>
        <w:rPr>
          <w:rFonts w:ascii="Times New Roman" w:eastAsia="Calibri" w:hAnsi="Times New Roman"/>
          <w:sz w:val="24"/>
          <w:szCs w:val="24"/>
        </w:rPr>
        <w:t>»</w:t>
      </w:r>
      <w:r w:rsidRPr="00532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отношений.</w:t>
      </w:r>
    </w:p>
    <w:p w:rsidR="00532732" w:rsidRPr="00532732" w:rsidRDefault="00532732" w:rsidP="002A6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532732" w:rsidTr="00532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532732" w:rsidTr="00532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 w:rsidP="005327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337D4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337D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337D4E">
              <w:rPr>
                <w:rFonts w:ascii="Times New Roman" w:hAnsi="Times New Roman"/>
                <w:bCs/>
                <w:sz w:val="24"/>
                <w:szCs w:val="24"/>
              </w:rPr>
              <w:t>.В.0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3273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 w:rsidRPr="00532732">
              <w:rPr>
                <w:rFonts w:ascii="Times New Roman" w:hAnsi="Times New Roman"/>
                <w:sz w:val="24"/>
                <w:szCs w:val="24"/>
              </w:rPr>
              <w:t>«</w:t>
            </w:r>
            <w:r w:rsidRPr="00532732">
              <w:rPr>
                <w:rFonts w:ascii="Times New Roman" w:eastAsia="Calibri" w:hAnsi="Times New Roman"/>
                <w:sz w:val="24"/>
                <w:szCs w:val="24"/>
              </w:rPr>
              <w:t>Численное решение задач строительной механики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32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532732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532732" w:rsidRPr="00532732" w:rsidRDefault="00532732" w:rsidP="002A6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033114" w:rsidRDefault="00324F8D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03311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33114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033114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033114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033114" w:rsidTr="004A55C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033114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3114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033114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033114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033114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033114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033114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033114" w:rsidTr="004A55C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033114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033114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033114">
              <w:rPr>
                <w:rFonts w:ascii="Times New Roman" w:hAnsi="Times New Roman"/>
                <w:b/>
              </w:rPr>
              <w:t>компетенции</w:t>
            </w:r>
            <w:r w:rsidR="001D64EC" w:rsidRPr="00033114">
              <w:rPr>
                <w:rFonts w:ascii="Times New Roman" w:hAnsi="Times New Roman"/>
              </w:rPr>
              <w:t>*</w:t>
            </w:r>
            <w:r w:rsidRPr="00033114">
              <w:rPr>
                <w:rFonts w:ascii="Times New Roman" w:hAnsi="Times New Roman"/>
                <w:i/>
              </w:rPr>
              <w:br/>
            </w:r>
            <w:r w:rsidR="00B26C74" w:rsidRPr="00033114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033114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033114">
              <w:rPr>
                <w:rFonts w:ascii="Times New Roman" w:hAnsi="Times New Roman"/>
                <w:b/>
              </w:rPr>
              <w:t>обучения</w:t>
            </w:r>
            <w:r w:rsidR="00F3325A" w:rsidRPr="00033114">
              <w:rPr>
                <w:rFonts w:ascii="Times New Roman" w:hAnsi="Times New Roman"/>
                <w:b/>
              </w:rPr>
              <w:t xml:space="preserve"> </w:t>
            </w:r>
            <w:r w:rsidR="00F3325A" w:rsidRPr="00033114">
              <w:rPr>
                <w:rFonts w:ascii="Times New Roman" w:hAnsi="Times New Roman"/>
                <w:b/>
              </w:rPr>
              <w:br/>
            </w:r>
            <w:r w:rsidRPr="00033114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033114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033114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033114" w:rsidTr="004A55CC">
        <w:trPr>
          <w:trHeight w:val="508"/>
          <w:jc w:val="center"/>
        </w:trPr>
        <w:tc>
          <w:tcPr>
            <w:tcW w:w="1756" w:type="dxa"/>
          </w:tcPr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</w:p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  <w:r w:rsidR="00761AC8" w:rsidRPr="00033114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A25FDE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114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033114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1737" w:type="dxa"/>
          </w:tcPr>
          <w:p w:rsidR="00761AC8" w:rsidRPr="00033114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033114" w:rsidTr="004A55CC">
        <w:trPr>
          <w:trHeight w:val="508"/>
          <w:jc w:val="center"/>
        </w:trPr>
        <w:tc>
          <w:tcPr>
            <w:tcW w:w="1756" w:type="dxa"/>
          </w:tcPr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  <w:r w:rsidR="00761AC8" w:rsidRPr="00033114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785E08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114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33114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 профессиональной деятельности.</w:t>
            </w:r>
          </w:p>
        </w:tc>
        <w:tc>
          <w:tcPr>
            <w:tcW w:w="1737" w:type="dxa"/>
          </w:tcPr>
          <w:p w:rsidR="00761AC8" w:rsidRPr="00033114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033114" w:rsidTr="004A55CC">
        <w:trPr>
          <w:trHeight w:val="508"/>
          <w:jc w:val="center"/>
        </w:trPr>
        <w:tc>
          <w:tcPr>
            <w:tcW w:w="1756" w:type="dxa"/>
          </w:tcPr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  <w:r w:rsidR="00761AC8" w:rsidRPr="00033114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A25FDE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114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033114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033114">
              <w:rPr>
                <w:rFonts w:ascii="Times New Roman" w:hAnsi="Times New Roman"/>
              </w:rPr>
              <w:t>современных программных комплексов</w:t>
            </w:r>
            <w:r w:rsidRPr="0003311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AC8" w:rsidRPr="00033114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  <w:tr w:rsidR="002A60FF" w:rsidRPr="00033114" w:rsidTr="004A55CC">
        <w:trPr>
          <w:trHeight w:val="508"/>
          <w:jc w:val="center"/>
        </w:trPr>
        <w:tc>
          <w:tcPr>
            <w:tcW w:w="1756" w:type="dxa"/>
          </w:tcPr>
          <w:p w:rsidR="002A60FF" w:rsidRPr="00033114" w:rsidRDefault="002A60FF" w:rsidP="00303F1B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53" w:type="dxa"/>
          </w:tcPr>
          <w:p w:rsidR="002A60FF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  <w:r w:rsidRPr="00033114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2A60FF" w:rsidRPr="00033114" w:rsidRDefault="004A55CC" w:rsidP="004A55CC">
            <w:pPr>
              <w:rPr>
                <w:rFonts w:ascii="Times New Roman" w:hAnsi="Times New Roman"/>
                <w:b/>
                <w:iCs/>
              </w:rPr>
            </w:pPr>
            <w:r w:rsidRPr="00033114">
              <w:rPr>
                <w:rFonts w:ascii="Times New Roman" w:hAnsi="Times New Roman"/>
                <w:b/>
                <w:iCs/>
              </w:rPr>
              <w:t>Знает</w:t>
            </w:r>
            <w:r w:rsidRPr="00033114">
              <w:rPr>
                <w:rFonts w:ascii="Times New Roman" w:hAnsi="Times New Roman"/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исследований.</w:t>
            </w:r>
          </w:p>
        </w:tc>
        <w:tc>
          <w:tcPr>
            <w:tcW w:w="1737" w:type="dxa"/>
          </w:tcPr>
          <w:p w:rsidR="002A60FF" w:rsidRPr="00033114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2A60FF" w:rsidRPr="00033114" w:rsidTr="004A55CC">
        <w:trPr>
          <w:trHeight w:val="508"/>
          <w:jc w:val="center"/>
        </w:trPr>
        <w:tc>
          <w:tcPr>
            <w:tcW w:w="1756" w:type="dxa"/>
          </w:tcPr>
          <w:p w:rsidR="002A60FF" w:rsidRPr="00033114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2A60FF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  <w:r w:rsidRPr="00033114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2A60FF" w:rsidRPr="00033114" w:rsidRDefault="004A55CC" w:rsidP="004A55CC">
            <w:pPr>
              <w:rPr>
                <w:rFonts w:ascii="Times New Roman" w:hAnsi="Times New Roman"/>
                <w:b/>
                <w:iCs/>
              </w:rPr>
            </w:pPr>
            <w:r w:rsidRPr="00033114">
              <w:rPr>
                <w:rFonts w:ascii="Times New Roman" w:hAnsi="Times New Roman"/>
                <w:b/>
                <w:iCs/>
              </w:rPr>
              <w:t>Умеет</w:t>
            </w:r>
            <w:r w:rsidRPr="00033114">
              <w:rPr>
                <w:rFonts w:ascii="Times New Roman" w:hAnsi="Times New Roman"/>
                <w:iCs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1737" w:type="dxa"/>
          </w:tcPr>
          <w:p w:rsidR="002A60FF" w:rsidRPr="00033114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2A60FF" w:rsidRPr="00033114" w:rsidTr="004A55CC">
        <w:trPr>
          <w:trHeight w:val="508"/>
          <w:jc w:val="center"/>
        </w:trPr>
        <w:tc>
          <w:tcPr>
            <w:tcW w:w="1756" w:type="dxa"/>
          </w:tcPr>
          <w:p w:rsidR="002A60FF" w:rsidRPr="00033114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A60FF" w:rsidRPr="00033114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2A60FF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  <w:r w:rsidRPr="00033114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2A60FF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33114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033114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1737" w:type="dxa"/>
          </w:tcPr>
          <w:p w:rsidR="002A60FF" w:rsidRPr="00033114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B26C74" w:rsidRPr="00033114" w:rsidRDefault="00B26C74" w:rsidP="00F64BD4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0"/>
          <w:szCs w:val="20"/>
          <w:highlight w:val="yellow"/>
        </w:rPr>
      </w:pPr>
      <w:r w:rsidRPr="00033114">
        <w:rPr>
          <w:sz w:val="20"/>
          <w:szCs w:val="20"/>
          <w:highlight w:val="yellow"/>
        </w:rPr>
        <w:t>*</w:t>
      </w:r>
      <w:r w:rsidRPr="00033114">
        <w:rPr>
          <w:i/>
          <w:sz w:val="20"/>
          <w:szCs w:val="20"/>
          <w:highlight w:val="yellow"/>
        </w:rPr>
        <w:t xml:space="preserve">Индикатор достижения  компетенции </w:t>
      </w:r>
      <w:r w:rsidRPr="00033114">
        <w:rPr>
          <w:sz w:val="20"/>
          <w:szCs w:val="20"/>
          <w:highlight w:val="yellow"/>
        </w:rPr>
        <w:t>– указывается из таблиц п.4.1. Общей характеристики ООП,</w:t>
      </w:r>
    </w:p>
    <w:p w:rsidR="00B26C74" w:rsidRPr="00033114" w:rsidRDefault="00B26C74" w:rsidP="00F64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33114">
        <w:rPr>
          <w:rFonts w:ascii="Times New Roman" w:hAnsi="Times New Roman"/>
          <w:i/>
          <w:sz w:val="20"/>
          <w:szCs w:val="20"/>
          <w:highlight w:val="yellow"/>
        </w:rPr>
        <w:t>**Результаты обучения по дисциплин</w:t>
      </w:r>
      <w:proofErr w:type="gramStart"/>
      <w:r w:rsidRPr="00033114">
        <w:rPr>
          <w:rFonts w:ascii="Times New Roman" w:hAnsi="Times New Roman"/>
          <w:i/>
          <w:sz w:val="20"/>
          <w:szCs w:val="20"/>
          <w:highlight w:val="yellow"/>
        </w:rPr>
        <w:t>е-</w:t>
      </w:r>
      <w:proofErr w:type="gramEnd"/>
      <w:r w:rsidRPr="00033114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r w:rsidRPr="00033114">
        <w:rPr>
          <w:rFonts w:ascii="Times New Roman" w:hAnsi="Times New Roman"/>
          <w:sz w:val="20"/>
          <w:szCs w:val="20"/>
          <w:highlight w:val="yellow"/>
        </w:rPr>
        <w:t>указываются авторами РПД согласно содержания дисциплины</w:t>
      </w:r>
    </w:p>
    <w:p w:rsidR="00A856CF" w:rsidRPr="00033114" w:rsidRDefault="00F64CB8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033114" w:rsidRDefault="00066E4A" w:rsidP="005B6029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033114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033114">
              <w:rPr>
                <w:b/>
              </w:rPr>
              <w:t>очная форма обучения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68426A" w:rsidP="00AF3A7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_</w:t>
            </w:r>
            <w:r w:rsidR="00AF3A7F" w:rsidRPr="00033114">
              <w:rPr>
                <w:b/>
              </w:rPr>
              <w:t>2</w:t>
            </w:r>
            <w:r w:rsidRPr="00033114">
              <w:rPr>
                <w:b/>
              </w:rPr>
              <w:t>__</w:t>
            </w:r>
            <w:r w:rsidRPr="00033114">
              <w:rPr>
                <w:b/>
                <w:color w:val="000000"/>
              </w:rPr>
              <w:t xml:space="preserve"> ЗЕТ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72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033114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033114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033114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33114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033114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033114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033114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033114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033114"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033114" w:rsidRDefault="00AF3A7F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16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033114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033114">
              <w:rPr>
                <w:b/>
                <w:color w:val="000000"/>
              </w:rPr>
              <w:t>- занятия семинарского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033114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32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033114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23</w:t>
            </w:r>
          </w:p>
        </w:tc>
      </w:tr>
      <w:tr w:rsidR="004C69E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4C69EA" w:rsidRPr="00033114" w:rsidRDefault="004C69E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4C69EA" w:rsidRPr="00033114" w:rsidRDefault="004C69E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BE730D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033114">
              <w:rPr>
                <w:b/>
                <w:color w:val="000000"/>
              </w:rPr>
              <w:t xml:space="preserve">Промежуточная аттестация </w:t>
            </w:r>
            <w:proofErr w:type="gramStart"/>
            <w:r w:rsidRPr="00033114">
              <w:rPr>
                <w:b/>
                <w:color w:val="000000"/>
              </w:rPr>
              <w:t>–</w:t>
            </w:r>
            <w:r w:rsidR="00BE730D" w:rsidRPr="00033114">
              <w:rPr>
                <w:b/>
                <w:color w:val="000000"/>
              </w:rPr>
              <w:t>з</w:t>
            </w:r>
            <w:proofErr w:type="gramEnd"/>
            <w:r w:rsidR="00BE730D" w:rsidRPr="00033114">
              <w:rPr>
                <w:b/>
                <w:color w:val="000000"/>
              </w:rPr>
              <w:t>ачет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</w:tbl>
    <w:p w:rsidR="0096713D" w:rsidRPr="00033114" w:rsidRDefault="0096713D" w:rsidP="005B6029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564E6F" w:rsidRPr="00033114" w:rsidRDefault="00564E6F" w:rsidP="00564E6F">
      <w:pPr>
        <w:keepNext/>
        <w:keepLines/>
        <w:tabs>
          <w:tab w:val="left" w:pos="426"/>
        </w:tabs>
        <w:spacing w:before="120" w:after="12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tbl>
      <w:tblPr>
        <w:tblW w:w="4859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236"/>
        <w:gridCol w:w="2773"/>
        <w:gridCol w:w="3712"/>
        <w:gridCol w:w="236"/>
        <w:gridCol w:w="725"/>
        <w:gridCol w:w="236"/>
      </w:tblGrid>
      <w:tr w:rsidR="001F7089" w:rsidRPr="00033114" w:rsidTr="005B6794">
        <w:trPr>
          <w:trHeight w:val="137"/>
        </w:trPr>
        <w:tc>
          <w:tcPr>
            <w:tcW w:w="1212" w:type="pct"/>
            <w:vMerge w:val="restart"/>
            <w:tcBorders>
              <w:right w:val="single" w:sz="4" w:space="0" w:color="auto"/>
            </w:tcBorders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Наименование и краткое содержание разделов и тем дисциплины,</w:t>
            </w:r>
          </w:p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87" w:type="pct"/>
            <w:gridSpan w:val="5"/>
            <w:tcBorders>
              <w:lef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1F7089" w:rsidRPr="00033114" w:rsidTr="005B6794">
        <w:trPr>
          <w:trHeight w:val="804"/>
        </w:trPr>
        <w:tc>
          <w:tcPr>
            <w:tcW w:w="1212" w:type="pct"/>
            <w:vMerge/>
            <w:tcBorders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60" w:type="pct"/>
            <w:gridSpan w:val="4"/>
            <w:tcBorders>
              <w:left w:val="single" w:sz="4" w:space="0" w:color="auto"/>
            </w:tcBorders>
          </w:tcPr>
          <w:p w:rsidR="001F7089" w:rsidRPr="00033114" w:rsidRDefault="001F7089" w:rsidP="00F402F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 xml:space="preserve">Контактная работа (работа во взаимодействии с преподавателем), </w:t>
            </w:r>
          </w:p>
          <w:p w:rsidR="001F7089" w:rsidRPr="00033114" w:rsidRDefault="001F7089" w:rsidP="00F402F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033114">
              <w:rPr>
                <w:rFonts w:ascii="Times New Roman" w:hAnsi="Times New Roman"/>
                <w:b/>
              </w:rPr>
              <w:t>часы.</w:t>
            </w:r>
            <w:r w:rsidRPr="00033114">
              <w:rPr>
                <w:rFonts w:ascii="Times New Roman" w:hAnsi="Times New Roman"/>
              </w:rPr>
              <w:t xml:space="preserve"> </w:t>
            </w:r>
            <w:r w:rsidRPr="00033114"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033114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033114">
              <w:rPr>
                <w:rFonts w:ascii="Times New Roman" w:hAnsi="Times New Roman"/>
                <w:b/>
              </w:rPr>
              <w:t>, часы</w:t>
            </w:r>
          </w:p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1F7089" w:rsidRPr="00033114" w:rsidTr="005B6794">
        <w:trPr>
          <w:cantSplit/>
          <w:trHeight w:val="1691"/>
        </w:trPr>
        <w:tc>
          <w:tcPr>
            <w:tcW w:w="1212" w:type="pct"/>
            <w:vMerge/>
            <w:tcBorders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8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F7089" w:rsidRPr="00033114" w:rsidRDefault="001F7089" w:rsidP="00F402FD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1455" w:type="pct"/>
            <w:textDirection w:val="btLr"/>
            <w:tcFitText/>
            <w:vAlign w:val="center"/>
          </w:tcPr>
          <w:p w:rsidR="001F7089" w:rsidRPr="00033114" w:rsidRDefault="001F7089" w:rsidP="001F7089">
            <w:pPr>
              <w:tabs>
                <w:tab w:val="num" w:pos="5396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333" w:type="pct"/>
            <w:textDirection w:val="btLr"/>
            <w:vAlign w:val="center"/>
          </w:tcPr>
          <w:p w:rsidR="001F7089" w:rsidRPr="00033114" w:rsidRDefault="001F7089" w:rsidP="00F402FD">
            <w:pPr>
              <w:tabs>
                <w:tab w:val="num" w:pos="1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1F7089" w:rsidRPr="00033114" w:rsidRDefault="001F7089" w:rsidP="00F402FD">
            <w:pPr>
              <w:tabs>
                <w:tab w:val="num" w:pos="5396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  <w:spacing w:val="7"/>
              </w:rPr>
              <w:t>В</w:t>
            </w:r>
            <w:r w:rsidRPr="00033114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327" w:type="pct"/>
            <w:vMerge/>
            <w:tcBorders>
              <w:lef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</w:p>
        </w:tc>
      </w:tr>
      <w:tr w:rsidR="001F7089" w:rsidRPr="00033114" w:rsidTr="005B6794">
        <w:trPr>
          <w:cantSplit/>
          <w:trHeight w:val="399"/>
        </w:trPr>
        <w:tc>
          <w:tcPr>
            <w:tcW w:w="12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</w:tr>
      <w:tr w:rsidR="001F7089" w:rsidRPr="00033114" w:rsidTr="005B6794">
        <w:tc>
          <w:tcPr>
            <w:tcW w:w="1212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89" w:rsidRPr="00033114" w:rsidRDefault="00A2424A" w:rsidP="00F402FD">
            <w:pPr>
              <w:tabs>
                <w:tab w:val="num" w:pos="82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 xml:space="preserve">Введение. Графический интерфейс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Ansys</w:t>
            </w:r>
            <w:proofErr w:type="spellEnd"/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89" w:rsidRPr="00033114" w:rsidRDefault="00A2424A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7089" w:rsidRPr="00033114" w:rsidRDefault="001F7089" w:rsidP="00F402F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1F7089" w:rsidP="00F402F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B9055C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B9055C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B9055C" w:rsidP="00B9055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 xml:space="preserve">Расчет плоских ферменных конструкций </w:t>
            </w:r>
            <w:r w:rsidRPr="00033114">
              <w:rPr>
                <w:rFonts w:ascii="Times New Roman" w:hAnsi="Times New Roman"/>
                <w:sz w:val="20"/>
                <w:szCs w:val="20"/>
              </w:rPr>
              <w:lastRenderedPageBreak/>
              <w:t>МКЭ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lastRenderedPageBreak/>
              <w:t>Расчет пространственных ферменных конструкций МКЭ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5C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B9055C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B9055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B9055C" w:rsidRPr="00033114" w:rsidRDefault="00B9055C" w:rsidP="00B9055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B9055C" w:rsidP="00B9055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B9055C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МКЭ расчета изгиба плоских балок и рам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Расчет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пространственных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стержневых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конструкций</w:t>
            </w:r>
            <w:proofErr w:type="spellEnd"/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З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</w:rPr>
              <w:t>адачи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</w:rPr>
              <w:t>устойчивост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и</w:t>
            </w:r>
            <w:r w:rsidRPr="00033114">
              <w:rPr>
                <w:rFonts w:ascii="Times New Roman" w:hAnsi="Times New Roman"/>
                <w:sz w:val="20"/>
                <w:szCs w:val="20"/>
              </w:rPr>
              <w:t xml:space="preserve"> стержневых конструкций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Динамические задачи (собственные колебания)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Динамические задачи (вынужденные колебания под действием гармонической во времени нагрузки)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24A" w:rsidRPr="00033114" w:rsidTr="005B6794">
        <w:tc>
          <w:tcPr>
            <w:tcW w:w="5000" w:type="pct"/>
            <w:gridSpan w:val="7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8"/>
                <w:szCs w:val="24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 xml:space="preserve">Промежуточная аттестация - </w:t>
            </w:r>
            <w:r w:rsidRPr="00033114">
              <w:rPr>
                <w:rFonts w:ascii="Times New Roman" w:hAnsi="Times New Roman"/>
                <w:b/>
                <w:szCs w:val="20"/>
                <w:u w:val="single"/>
              </w:rPr>
              <w:t> зачет</w:t>
            </w:r>
            <w:r w:rsidRPr="00033114">
              <w:rPr>
                <w:rFonts w:ascii="Times New Roman" w:hAnsi="Times New Roman"/>
                <w:b/>
                <w:szCs w:val="20"/>
              </w:rPr>
              <w:t xml:space="preserve">  </w:t>
            </w:r>
          </w:p>
        </w:tc>
      </w:tr>
    </w:tbl>
    <w:p w:rsidR="000C52F1" w:rsidRPr="00033114" w:rsidRDefault="000C52F1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2F1" w:rsidRPr="00033114" w:rsidRDefault="000C52F1" w:rsidP="000C52F1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 </w:t>
      </w:r>
      <w:r w:rsidR="00DC231B" w:rsidRPr="00033114">
        <w:rPr>
          <w:rFonts w:ascii="Times New Roman" w:hAnsi="Times New Roman"/>
          <w:iCs/>
          <w:sz w:val="24"/>
          <w:szCs w:val="24"/>
        </w:rPr>
        <w:t>лабораторного</w:t>
      </w:r>
      <w:r w:rsidRPr="00033114">
        <w:rPr>
          <w:rFonts w:ascii="Times New Roman" w:hAnsi="Times New Roman"/>
          <w:iCs/>
          <w:sz w:val="24"/>
          <w:szCs w:val="24"/>
        </w:rPr>
        <w:t xml:space="preserve"> типа, групповых или индивидуальных консультаций. Итоговый контроль осуществляется на зачете.</w:t>
      </w:r>
    </w:p>
    <w:p w:rsidR="001B7AAE" w:rsidRPr="00033114" w:rsidRDefault="00F64CB8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proofErr w:type="gramStart"/>
      <w:r w:rsidR="005428F3" w:rsidRPr="0003311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C231B" w:rsidRPr="00033114" w:rsidRDefault="00DC231B" w:rsidP="00DC231B">
      <w:pPr>
        <w:keepNext/>
        <w:keepLines/>
        <w:tabs>
          <w:tab w:val="left" w:pos="426"/>
        </w:tabs>
        <w:spacing w:before="240"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DC231B" w:rsidRPr="00033114" w:rsidRDefault="00DC231B" w:rsidP="00DC231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33114">
        <w:rPr>
          <w:rStyle w:val="FontStyle50"/>
          <w:rFonts w:ascii="Times New Roman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студентов:</w:t>
      </w:r>
      <w:r w:rsidRPr="00033114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33114">
        <w:rPr>
          <w:rFonts w:ascii="Times New Roman" w:hAnsi="Times New Roman"/>
          <w:sz w:val="24"/>
          <w:szCs w:val="24"/>
        </w:rPr>
        <w:t>лабораторные работы</w:t>
      </w:r>
      <w:r w:rsidRPr="00033114">
        <w:rPr>
          <w:rFonts w:ascii="Times New Roman" w:hAnsi="Times New Roman"/>
          <w:bCs/>
          <w:sz w:val="24"/>
          <w:szCs w:val="24"/>
        </w:rPr>
        <w:t xml:space="preserve">, зачет. </w:t>
      </w:r>
    </w:p>
    <w:p w:rsidR="0030212B" w:rsidRPr="00033114" w:rsidRDefault="0030212B" w:rsidP="003A3694">
      <w:pPr>
        <w:spacing w:before="120"/>
        <w:rPr>
          <w:rFonts w:ascii="Times New Roman" w:eastAsia="Calibri" w:hAnsi="Times New Roman"/>
        </w:rPr>
      </w:pPr>
      <w:r w:rsidRPr="00033114">
        <w:rPr>
          <w:rFonts w:ascii="Times New Roman" w:eastAsia="Calibri" w:hAnsi="Times New Roman"/>
        </w:rPr>
        <w:t xml:space="preserve">Примеры </w:t>
      </w:r>
      <w:r w:rsidRPr="00033114">
        <w:rPr>
          <w:rFonts w:ascii="Times New Roman" w:eastAsia="Calibri" w:hAnsi="Times New Roman"/>
          <w:bCs/>
        </w:rPr>
        <w:t xml:space="preserve">общих теоретических вопросов и </w:t>
      </w:r>
      <w:r w:rsidRPr="00033114">
        <w:rPr>
          <w:rFonts w:ascii="Times New Roman" w:eastAsia="Calibri" w:hAnsi="Times New Roman"/>
        </w:rPr>
        <w:t>заданий для собеседований приведены в п. 5.2</w:t>
      </w:r>
    </w:p>
    <w:p w:rsidR="00B22F8E" w:rsidRPr="00033114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033114" w:rsidRDefault="00A55147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033114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033114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 w:rsidRPr="00033114">
        <w:rPr>
          <w:rFonts w:ascii="Times New Roman" w:hAnsi="Times New Roman"/>
          <w:b/>
          <w:sz w:val="24"/>
          <w:szCs w:val="24"/>
        </w:rPr>
        <w:t>)</w:t>
      </w:r>
    </w:p>
    <w:p w:rsidR="00A55147" w:rsidRPr="00033114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033114">
        <w:rPr>
          <w:rFonts w:ascii="Times New Roman" w:hAnsi="Times New Roman"/>
          <w:sz w:val="24"/>
          <w:szCs w:val="24"/>
        </w:rPr>
        <w:t xml:space="preserve">дств </w:t>
      </w:r>
      <w:r w:rsidR="00A55147" w:rsidRPr="00033114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033114">
        <w:rPr>
          <w:rFonts w:ascii="Times New Roman" w:hAnsi="Times New Roman"/>
          <w:sz w:val="24"/>
          <w:szCs w:val="24"/>
        </w:rPr>
        <w:t>юча</w:t>
      </w:r>
      <w:r w:rsidRPr="00033114">
        <w:rPr>
          <w:rFonts w:ascii="Times New Roman" w:hAnsi="Times New Roman"/>
          <w:sz w:val="24"/>
          <w:szCs w:val="24"/>
        </w:rPr>
        <w:t>ет</w:t>
      </w:r>
      <w:r w:rsidR="00A55147" w:rsidRPr="00033114">
        <w:rPr>
          <w:rFonts w:ascii="Times New Roman" w:hAnsi="Times New Roman"/>
          <w:sz w:val="24"/>
          <w:szCs w:val="24"/>
        </w:rPr>
        <w:t>:</w:t>
      </w:r>
      <w:r w:rsidR="00AF415D" w:rsidRPr="00033114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 w:rsidRPr="00033114">
        <w:rPr>
          <w:rFonts w:ascii="Times New Roman" w:hAnsi="Times New Roman"/>
          <w:sz w:val="24"/>
          <w:szCs w:val="24"/>
        </w:rPr>
        <w:t>контрольных вопросов теоретического характера, контрольных вопросов к описанию лабораторных работ</w:t>
      </w:r>
      <w:r w:rsidR="00AF415D" w:rsidRPr="00033114">
        <w:rPr>
          <w:rFonts w:ascii="Times New Roman" w:hAnsi="Times New Roman"/>
          <w:sz w:val="24"/>
          <w:szCs w:val="24"/>
        </w:rPr>
        <w:t xml:space="preserve"> и </w:t>
      </w:r>
      <w:r w:rsidR="007E2F2E" w:rsidRPr="00033114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033114">
        <w:rPr>
          <w:rFonts w:ascii="Times New Roman" w:hAnsi="Times New Roman"/>
          <w:sz w:val="24"/>
          <w:szCs w:val="24"/>
        </w:rPr>
        <w:t>.</w:t>
      </w:r>
    </w:p>
    <w:p w:rsidR="00E85ECD" w:rsidRPr="00033114" w:rsidRDefault="00E85ECD" w:rsidP="005B6029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03311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033114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033114">
              <w:rPr>
                <w:rFonts w:ascii="Times New Roman" w:eastAsia="Calibri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0331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BF4B95" w:rsidRPr="00033114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033114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033114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033114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033114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033114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033114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033114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033114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033114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033114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033114" w:rsidRDefault="00A55147" w:rsidP="005B6029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03311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033114" w:rsidRDefault="00387EC5" w:rsidP="005B6029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033114">
        <w:rPr>
          <w:rFonts w:ascii="Times New Roman" w:hAnsi="Times New Roman"/>
          <w:b/>
        </w:rPr>
        <w:t xml:space="preserve">Контрольные </w:t>
      </w:r>
      <w:r w:rsidR="007E2F2E" w:rsidRPr="00033114">
        <w:rPr>
          <w:rFonts w:ascii="Times New Roman" w:hAnsi="Times New Roman"/>
          <w:b/>
        </w:rPr>
        <w:t>задания</w:t>
      </w:r>
      <w:r w:rsidR="0030212B" w:rsidRPr="00033114">
        <w:rPr>
          <w:rFonts w:ascii="Times New Roman" w:eastAsia="Calibri" w:hAnsi="Times New Roman"/>
          <w:b/>
        </w:rPr>
        <w:t xml:space="preserve"> для оценки формирования компетенци</w:t>
      </w:r>
      <w:r w:rsidR="003F3960" w:rsidRPr="00033114">
        <w:rPr>
          <w:rFonts w:ascii="Times New Roman" w:eastAsia="Calibri" w:hAnsi="Times New Roman"/>
          <w:b/>
        </w:rPr>
        <w:t>й</w:t>
      </w:r>
      <w:r w:rsidR="0030212B" w:rsidRPr="00033114">
        <w:rPr>
          <w:rFonts w:ascii="Times New Roman" w:eastAsia="Calibri" w:hAnsi="Times New Roman"/>
          <w:b/>
        </w:rPr>
        <w:t xml:space="preserve"> ПК-</w:t>
      </w:r>
      <w:r w:rsidR="00CC4180" w:rsidRPr="00033114">
        <w:rPr>
          <w:rFonts w:ascii="Times New Roman" w:eastAsia="Calibri" w:hAnsi="Times New Roman"/>
          <w:b/>
        </w:rPr>
        <w:t>2</w:t>
      </w:r>
      <w:r w:rsidR="003F3960" w:rsidRPr="00033114">
        <w:rPr>
          <w:rFonts w:ascii="Times New Roman" w:eastAsia="Calibri" w:hAnsi="Times New Roman"/>
          <w:b/>
        </w:rPr>
        <w:t>, ПК-</w:t>
      </w:r>
      <w:r w:rsidR="00CC4180" w:rsidRPr="00033114">
        <w:rPr>
          <w:rFonts w:ascii="Times New Roman" w:eastAsia="Calibri" w:hAnsi="Times New Roman"/>
          <w:b/>
        </w:rPr>
        <w:t>3</w:t>
      </w:r>
    </w:p>
    <w:p w:rsidR="005A46D2" w:rsidRPr="00033114" w:rsidRDefault="005A46D2" w:rsidP="005A46D2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</w:p>
    <w:p w:rsidR="005A46D2" w:rsidRPr="00033114" w:rsidRDefault="005A46D2" w:rsidP="005A46D2">
      <w:pPr>
        <w:widowControl w:val="0"/>
        <w:tabs>
          <w:tab w:val="left" w:pos="708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033114">
        <w:rPr>
          <w:rFonts w:ascii="Times New Roman" w:hAnsi="Times New Roman"/>
          <w:bCs/>
          <w:i/>
          <w:iCs/>
          <w:sz w:val="24"/>
          <w:szCs w:val="24"/>
        </w:rPr>
        <w:t>Варианты заданий</w:t>
      </w:r>
      <w:r w:rsidRPr="00033114">
        <w:rPr>
          <w:rFonts w:ascii="Times New Roman" w:hAnsi="Times New Roman"/>
          <w:i/>
          <w:sz w:val="24"/>
          <w:szCs w:val="24"/>
        </w:rPr>
        <w:t xml:space="preserve"> РГР</w:t>
      </w:r>
      <w:r w:rsidRPr="00033114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033114">
        <w:rPr>
          <w:rFonts w:ascii="Times New Roman" w:hAnsi="Times New Roman"/>
          <w:i/>
          <w:sz w:val="24"/>
          <w:szCs w:val="24"/>
        </w:rPr>
        <w:t>Темы расчетно-графических работ (РГР).</w:t>
      </w:r>
    </w:p>
    <w:p w:rsidR="002B16F5" w:rsidRPr="00033114" w:rsidRDefault="002B16F5" w:rsidP="005A46D2">
      <w:pPr>
        <w:widowControl w:val="0"/>
        <w:tabs>
          <w:tab w:val="left" w:pos="708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</w:p>
    <w:p w:rsidR="005A46D2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плоской фермы.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балки.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рамы.</w:t>
      </w:r>
    </w:p>
    <w:p w:rsidR="00316404" w:rsidRPr="00033114" w:rsidRDefault="00316404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пространственной фермы.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Устойчивость по Эйлеру.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Модальный анализ.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Гармонический анализ.</w:t>
      </w:r>
    </w:p>
    <w:p w:rsidR="005A46D2" w:rsidRPr="00033114" w:rsidRDefault="005A46D2" w:rsidP="005A46D2">
      <w:pPr>
        <w:widowControl w:val="0"/>
        <w:tabs>
          <w:tab w:val="left" w:pos="708"/>
        </w:tabs>
        <w:spacing w:after="0" w:line="240" w:lineRule="auto"/>
        <w:ind w:firstLine="1069"/>
        <w:jc w:val="both"/>
        <w:rPr>
          <w:rFonts w:ascii="Times New Roman" w:hAnsi="Times New Roman"/>
          <w:i/>
          <w:sz w:val="28"/>
          <w:szCs w:val="28"/>
        </w:rPr>
      </w:pPr>
    </w:p>
    <w:p w:rsidR="0017446C" w:rsidRPr="00033114" w:rsidRDefault="0017446C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E2F2E" w:rsidRPr="00033114" w:rsidRDefault="007E2F2E" w:rsidP="005B6029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033114">
        <w:rPr>
          <w:rFonts w:ascii="Times New Roman" w:hAnsi="Times New Roman"/>
          <w:b/>
        </w:rPr>
        <w:lastRenderedPageBreak/>
        <w:t>Контрольные вопросы</w:t>
      </w:r>
      <w:r w:rsidRPr="00033114">
        <w:rPr>
          <w:rFonts w:ascii="Times New Roman" w:eastAsia="Calibri" w:hAnsi="Times New Roman"/>
          <w:b/>
        </w:rPr>
        <w:t xml:space="preserve"> для оценки формирования компетенци</w:t>
      </w:r>
      <w:r w:rsidR="003F3960" w:rsidRPr="00033114">
        <w:rPr>
          <w:rFonts w:ascii="Times New Roman" w:eastAsia="Calibri" w:hAnsi="Times New Roman"/>
          <w:b/>
        </w:rPr>
        <w:t>й</w:t>
      </w:r>
      <w:r w:rsidRPr="00033114">
        <w:rPr>
          <w:rFonts w:ascii="Times New Roman" w:eastAsia="Calibri" w:hAnsi="Times New Roman"/>
          <w:b/>
        </w:rPr>
        <w:t xml:space="preserve"> </w:t>
      </w:r>
      <w:r w:rsidR="003F3960" w:rsidRPr="00033114">
        <w:rPr>
          <w:rFonts w:ascii="Times New Roman" w:eastAsia="Calibri" w:hAnsi="Times New Roman"/>
          <w:b/>
        </w:rPr>
        <w:t>ПК-</w:t>
      </w:r>
      <w:r w:rsidR="00CC4180" w:rsidRPr="00033114">
        <w:rPr>
          <w:rFonts w:ascii="Times New Roman" w:eastAsia="Calibri" w:hAnsi="Times New Roman"/>
          <w:b/>
        </w:rPr>
        <w:t>2</w:t>
      </w:r>
      <w:r w:rsidR="003F3960" w:rsidRPr="00033114">
        <w:rPr>
          <w:rFonts w:ascii="Times New Roman" w:eastAsia="Calibri" w:hAnsi="Times New Roman"/>
          <w:b/>
        </w:rPr>
        <w:t>, ПК-</w:t>
      </w:r>
      <w:r w:rsidR="00CC4180" w:rsidRPr="00033114">
        <w:rPr>
          <w:rFonts w:ascii="Times New Roman" w:eastAsia="Calibri" w:hAnsi="Times New Roman"/>
          <w:b/>
        </w:rPr>
        <w:t>3</w:t>
      </w:r>
    </w:p>
    <w:p w:rsidR="0030212B" w:rsidRPr="00033114" w:rsidRDefault="0030212B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588"/>
      </w:tblGrid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Ansys</w:t>
            </w:r>
            <w:proofErr w:type="spellEnd"/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Расчет плоских ферменных конструкций МКЭ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Расчет пространственных ферменных конструкций МКЭ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МКЭ расчета изгиба плоских балок и рам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Расчет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пространственных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стержневых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конструкций</w:t>
            </w:r>
            <w:proofErr w:type="spellEnd"/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адачи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устойчивост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 xml:space="preserve"> стержневых конструкций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Динамические задачи (собственные колебания)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Динамические задачи (вынужденные колебания под действием гармонической во времени нагрузки)</w:t>
            </w:r>
          </w:p>
        </w:tc>
      </w:tr>
    </w:tbl>
    <w:p w:rsidR="005A46D2" w:rsidRPr="00033114" w:rsidRDefault="005A46D2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64CB8" w:rsidRPr="00033114" w:rsidRDefault="00F64CB8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 w:rsidRPr="00033114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8129"/>
        <w:gridCol w:w="839"/>
      </w:tblGrid>
      <w:tr w:rsidR="003E46F7" w:rsidRPr="00033114" w:rsidTr="00F402FD">
        <w:trPr>
          <w:tblHeader/>
          <w:jc w:val="center"/>
        </w:trPr>
        <w:tc>
          <w:tcPr>
            <w:tcW w:w="975" w:type="dxa"/>
            <w:vAlign w:val="center"/>
          </w:tcPr>
          <w:p w:rsidR="003E46F7" w:rsidRPr="00033114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2" w:type="dxa"/>
            <w:vAlign w:val="center"/>
          </w:tcPr>
          <w:p w:rsidR="003E46F7" w:rsidRPr="00033114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1589" w:type="dxa"/>
            <w:vAlign w:val="center"/>
          </w:tcPr>
          <w:p w:rsidR="003E46F7" w:rsidRPr="00033114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033114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1"/>
            </w:r>
          </w:p>
        </w:tc>
      </w:tr>
      <w:tr w:rsidR="00E16C57" w:rsidRPr="00033114" w:rsidTr="00F402FD">
        <w:trPr>
          <w:jc w:val="center"/>
        </w:trPr>
        <w:tc>
          <w:tcPr>
            <w:tcW w:w="975" w:type="dxa"/>
          </w:tcPr>
          <w:p w:rsidR="00E16C57" w:rsidRPr="00033114" w:rsidRDefault="00E16C57" w:rsidP="005B6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2" w:type="dxa"/>
          </w:tcPr>
          <w:p w:rsidR="00E16C57" w:rsidRPr="00033114" w:rsidRDefault="00F402FD" w:rsidP="00F402F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 xml:space="preserve">Любимов А.К., Берендеев Н.Н.,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Втюрин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М.Ю., Жидков А.В., Леонтьев Н.В.,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ШабаровВ.В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5CA9" w:rsidRPr="00033114">
              <w:rPr>
                <w:rFonts w:ascii="Times New Roman" w:hAnsi="Times New Roman"/>
                <w:sz w:val="24"/>
                <w:szCs w:val="24"/>
              </w:rPr>
              <w:t xml:space="preserve">Применение системы </w:t>
            </w:r>
            <w:r w:rsidR="009C5CA9" w:rsidRPr="00033114">
              <w:rPr>
                <w:rFonts w:ascii="Times New Roman" w:hAnsi="Times New Roman"/>
                <w:sz w:val="24"/>
                <w:szCs w:val="24"/>
                <w:lang w:val="en-US"/>
              </w:rPr>
              <w:t>ANSYS</w:t>
            </w:r>
            <w:r w:rsidR="009C5CA9" w:rsidRPr="00033114">
              <w:rPr>
                <w:rFonts w:ascii="Times New Roman" w:hAnsi="Times New Roman"/>
                <w:sz w:val="24"/>
                <w:szCs w:val="24"/>
              </w:rPr>
              <w:t xml:space="preserve"> к решению задач механики сплошной среды, 2006 – 227 </w:t>
            </w:r>
            <w:proofErr w:type="gramStart"/>
            <w:r w:rsidR="009C5CA9" w:rsidRPr="000331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C5CA9" w:rsidRPr="00033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F402FD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6C57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033114" w:rsidTr="00F402FD">
        <w:trPr>
          <w:jc w:val="center"/>
        </w:trPr>
        <w:tc>
          <w:tcPr>
            <w:tcW w:w="975" w:type="dxa"/>
          </w:tcPr>
          <w:p w:rsidR="00E16C57" w:rsidRPr="00033114" w:rsidRDefault="00E16C57" w:rsidP="005B6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2" w:type="dxa"/>
          </w:tcPr>
          <w:p w:rsidR="00E16C57" w:rsidRPr="00033114" w:rsidRDefault="00610044" w:rsidP="00610044">
            <w:pPr>
              <w:jc w:val="both"/>
              <w:rPr>
                <w:rFonts w:ascii="Times New Roman" w:eastAsia="Calibri" w:hAnsi="Times New Roman"/>
              </w:rPr>
            </w:pP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Расчетно-графическИЕ работЫ 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 xml:space="preserve">по курсу «Метод конечных элементов в задачах строительной механики». </w:t>
            </w: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ЗАДАНИЯ И ПРИМЕРЫ ВЫПОЛНЕНИЯ. </w:t>
            </w:r>
            <w:r w:rsidRPr="00033114">
              <w:rPr>
                <w:rFonts w:ascii="Times New Roman" w:eastAsia="SFRM1440" w:hAnsi="Times New Roman"/>
                <w:sz w:val="24"/>
                <w:szCs w:val="24"/>
              </w:rPr>
              <w:t>Составитель:</w:t>
            </w: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 Н.В. 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>Леонтьев</w:t>
            </w: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033114">
              <w:rPr>
                <w:rFonts w:ascii="Times New Roman" w:eastAsia="SFRM1440" w:hAnsi="Times New Roman"/>
                <w:sz w:val="24"/>
                <w:szCs w:val="24"/>
              </w:rPr>
              <w:t xml:space="preserve">- Нижний Новгород: Нижегородский госуниверситет, 2014. - 18 с. 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 xml:space="preserve">[Электронный ресурс]  </w:t>
            </w:r>
            <w:hyperlink r:id="rId8" w:history="1">
              <w:r w:rsidRPr="00033114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http://www.unn.ru/books/met_files/FEMSM_CGW.doc</w:t>
              </w:r>
            </w:hyperlink>
            <w:r w:rsidRPr="0003311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 от ..2014)</w:t>
            </w:r>
          </w:p>
        </w:tc>
        <w:tc>
          <w:tcPr>
            <w:tcW w:w="1589" w:type="dxa"/>
          </w:tcPr>
          <w:p w:rsidR="00E16C57" w:rsidRPr="00033114" w:rsidRDefault="00610044" w:rsidP="006100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033114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3"/>
        <w:gridCol w:w="7767"/>
        <w:gridCol w:w="1111"/>
      </w:tblGrid>
      <w:tr w:rsidR="004D6B23" w:rsidRPr="00033114" w:rsidTr="00F402FD">
        <w:trPr>
          <w:tblHeader/>
          <w:jc w:val="center"/>
        </w:trPr>
        <w:tc>
          <w:tcPr>
            <w:tcW w:w="975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3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1588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033114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2"/>
            </w:r>
          </w:p>
        </w:tc>
      </w:tr>
      <w:tr w:rsidR="004D6B23" w:rsidRPr="00033114" w:rsidTr="00F402FD">
        <w:trPr>
          <w:jc w:val="center"/>
        </w:trPr>
        <w:tc>
          <w:tcPr>
            <w:tcW w:w="975" w:type="dxa"/>
          </w:tcPr>
          <w:p w:rsidR="004D6B23" w:rsidRPr="00033114" w:rsidRDefault="004D6B23" w:rsidP="005B60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3" w:type="dxa"/>
          </w:tcPr>
          <w:p w:rsidR="00F402FD" w:rsidRPr="00033114" w:rsidRDefault="00F402FD" w:rsidP="00F4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eastAsia="HiddenHorzOCR" w:hAnsi="Times New Roman"/>
                <w:sz w:val="24"/>
                <w:szCs w:val="24"/>
              </w:rPr>
              <w:t>Тимошенко С.П. Устойчивость стержней пластин и оболочек. М.: Наука, 1971</w:t>
            </w:r>
          </w:p>
          <w:p w:rsidR="004D6B23" w:rsidRPr="00033114" w:rsidRDefault="004D6B23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B23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7</w:t>
            </w:r>
            <w:r w:rsidR="003901D8" w:rsidRPr="00033114">
              <w:rPr>
                <w:rFonts w:ascii="Times New Roman" w:hAnsi="Times New Roman"/>
                <w:sz w:val="24"/>
                <w:szCs w:val="24"/>
              </w:rPr>
              <w:t>экз</w:t>
            </w:r>
          </w:p>
        </w:tc>
      </w:tr>
      <w:tr w:rsidR="00400BC0" w:rsidRPr="00033114" w:rsidTr="00F402FD">
        <w:trPr>
          <w:jc w:val="center"/>
        </w:trPr>
        <w:tc>
          <w:tcPr>
            <w:tcW w:w="975" w:type="dxa"/>
          </w:tcPr>
          <w:p w:rsidR="00400BC0" w:rsidRPr="00033114" w:rsidRDefault="00400BC0" w:rsidP="005B60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3" w:type="dxa"/>
          </w:tcPr>
          <w:p w:rsidR="00400BC0" w:rsidRPr="00033114" w:rsidRDefault="00F402FD" w:rsidP="00F402F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Хог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Арора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Я.  Прикладное оптимальное проектирование: Механические системы и конструкции: Пер. с англ.-М.: Мир,1983.- 478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400BC0" w:rsidRPr="00033114" w:rsidRDefault="003901D8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1экз</w:t>
            </w:r>
            <w:r w:rsidRPr="000331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C26D7" w:rsidRPr="00033114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033114" w:rsidTr="00F402FD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033114" w:rsidRDefault="00382F8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  <w:r w:rsidR="004D6B23" w:rsidRPr="00033114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3"/>
            </w:r>
          </w:p>
        </w:tc>
      </w:tr>
      <w:tr w:rsidR="004D6B23" w:rsidRPr="00033114" w:rsidTr="00F402FD">
        <w:trPr>
          <w:jc w:val="center"/>
        </w:trPr>
        <w:tc>
          <w:tcPr>
            <w:tcW w:w="542" w:type="dxa"/>
          </w:tcPr>
          <w:p w:rsidR="004D6B23" w:rsidRPr="00033114" w:rsidRDefault="004D6B23" w:rsidP="005B60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033114" w:rsidRDefault="00620CD3" w:rsidP="00365DB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hyperlink r:id="rId9" w:history="1">
              <w:r w:rsidR="00400BC0" w:rsidRPr="00033114">
                <w:rPr>
                  <w:rStyle w:val="ad"/>
                  <w:rFonts w:ascii="Times New Roman" w:eastAsia="Calibri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033114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  <w:tr w:rsidR="00F402FD" w:rsidRPr="00532732" w:rsidTr="00F402FD">
        <w:trPr>
          <w:jc w:val="center"/>
        </w:trPr>
        <w:tc>
          <w:tcPr>
            <w:tcW w:w="542" w:type="dxa"/>
          </w:tcPr>
          <w:p w:rsidR="00F402FD" w:rsidRPr="00033114" w:rsidRDefault="00F402FD" w:rsidP="005B60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F402FD" w:rsidRPr="00033114" w:rsidRDefault="00F402FD" w:rsidP="00F402FD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033114">
              <w:rPr>
                <w:b w:val="0"/>
                <w:sz w:val="24"/>
                <w:szCs w:val="24"/>
              </w:rPr>
              <w:t xml:space="preserve">ANSYS Help </w:t>
            </w:r>
            <w:r w:rsidRPr="00033114">
              <w:rPr>
                <w:b w:val="0"/>
                <w:sz w:val="24"/>
                <w:szCs w:val="24"/>
                <w:lang w:val="ru-RU"/>
              </w:rPr>
              <w:t>версии</w:t>
            </w:r>
            <w:r w:rsidRPr="00033114">
              <w:rPr>
                <w:b w:val="0"/>
                <w:sz w:val="24"/>
                <w:szCs w:val="24"/>
              </w:rPr>
              <w:t xml:space="preserve"> 11, 12, 13</w:t>
            </w:r>
          </w:p>
          <w:p w:rsidR="00F402FD" w:rsidRPr="00033114" w:rsidRDefault="00620CD3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http://www.emt.ru/</w:t>
              </w:r>
            </w:hyperlink>
          </w:p>
          <w:p w:rsidR="00F402FD" w:rsidRPr="00033114" w:rsidRDefault="00620CD3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http://www.fea.ru/</w:t>
              </w:r>
            </w:hyperlink>
          </w:p>
          <w:p w:rsidR="00F402FD" w:rsidRPr="00033114" w:rsidRDefault="00620CD3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http://www.cae.ru/</w:t>
              </w:r>
            </w:hyperlink>
          </w:p>
          <w:p w:rsidR="00F402FD" w:rsidRPr="00033114" w:rsidRDefault="00620CD3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http://feafree.chat.ru/</w:t>
              </w:r>
            </w:hyperlink>
          </w:p>
          <w:p w:rsidR="00F402FD" w:rsidRPr="00033114" w:rsidRDefault="00620CD3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http://mysopromat.ru/cgi-bin/yabb2/YaBB.pl?catselect=feaprogramms</w:t>
              </w:r>
            </w:hyperlink>
          </w:p>
          <w:p w:rsidR="00F402FD" w:rsidRPr="00033114" w:rsidRDefault="00F402FD" w:rsidP="00365DB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</w:tcPr>
          <w:p w:rsidR="00F402FD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:rsidR="001E3215" w:rsidRPr="00033114" w:rsidRDefault="001E3215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lastRenderedPageBreak/>
        <w:t>Материально-тех</w:t>
      </w:r>
      <w:r w:rsidR="002C26D7" w:rsidRPr="00033114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855E2E" w:rsidRPr="00033114" w:rsidRDefault="002073D7" w:rsidP="00855E2E">
      <w:pPr>
        <w:pStyle w:val="a6"/>
        <w:ind w:left="360"/>
        <w:rPr>
          <w:rFonts w:ascii="Times New Roman" w:hAnsi="Times New Roman"/>
          <w:bCs/>
          <w:spacing w:val="-2"/>
          <w:sz w:val="24"/>
          <w:szCs w:val="24"/>
        </w:rPr>
      </w:pPr>
      <w:r w:rsidRPr="00033114">
        <w:rPr>
          <w:rFonts w:ascii="Times New Roman" w:hAnsi="Times New Roman"/>
          <w:bCs/>
          <w:spacing w:val="-2"/>
          <w:sz w:val="24"/>
          <w:szCs w:val="24"/>
        </w:rPr>
        <w:t xml:space="preserve">Учебные аудитории для проведения лекционных и семинарских занятий, оснащенные </w:t>
      </w:r>
      <w:proofErr w:type="spellStart"/>
      <w:r w:rsidRPr="00033114">
        <w:rPr>
          <w:rFonts w:ascii="Times New Roman" w:hAnsi="Times New Roman"/>
          <w:bCs/>
          <w:spacing w:val="-2"/>
          <w:sz w:val="24"/>
          <w:szCs w:val="24"/>
        </w:rPr>
        <w:t>мультимедийными</w:t>
      </w:r>
      <w:proofErr w:type="spellEnd"/>
      <w:r w:rsidRPr="00033114">
        <w:rPr>
          <w:rFonts w:ascii="Times New Roman" w:hAnsi="Times New Roman"/>
          <w:bCs/>
          <w:spacing w:val="-2"/>
          <w:sz w:val="24"/>
          <w:szCs w:val="24"/>
        </w:rPr>
        <w:t xml:space="preserve"> средствами.</w:t>
      </w:r>
    </w:p>
    <w:p w:rsidR="001E3215" w:rsidRPr="00033114" w:rsidRDefault="001E3215" w:rsidP="00855E2E">
      <w:pPr>
        <w:pStyle w:val="a6"/>
        <w:ind w:left="360"/>
        <w:rPr>
          <w:rFonts w:ascii="Times New Roman" w:hAnsi="Times New Roman"/>
          <w:sz w:val="24"/>
          <w:szCs w:val="24"/>
        </w:rPr>
      </w:pPr>
      <w:proofErr w:type="gramStart"/>
      <w:r w:rsidRPr="00033114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 w:rsidRPr="00033114">
        <w:rPr>
          <w:rFonts w:ascii="Times New Roman" w:hAnsi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033114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3114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033114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532732" w:rsidRDefault="00532732" w:rsidP="00532732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532732" w:rsidRDefault="00532732" w:rsidP="0053273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2073D7" w:rsidRPr="00033114" w:rsidRDefault="002073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3D7" w:rsidRPr="00532732" w:rsidRDefault="002073D7" w:rsidP="002073D7">
      <w:pPr>
        <w:outlineLvl w:val="0"/>
        <w:rPr>
          <w:rFonts w:ascii="Times New Roman" w:hAnsi="Times New Roman"/>
          <w:sz w:val="24"/>
          <w:szCs w:val="24"/>
        </w:rPr>
      </w:pPr>
      <w:r w:rsidRPr="00532732">
        <w:rPr>
          <w:rFonts w:ascii="Times New Roman" w:hAnsi="Times New Roman"/>
          <w:sz w:val="24"/>
          <w:szCs w:val="24"/>
        </w:rPr>
        <w:t>Авто</w:t>
      </w:r>
      <w:proofErr w:type="gramStart"/>
      <w:r w:rsidRPr="00532732"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 w:rsidRPr="00532732">
        <w:rPr>
          <w:rFonts w:ascii="Times New Roman" w:hAnsi="Times New Roman"/>
          <w:sz w:val="24"/>
          <w:szCs w:val="24"/>
        </w:rPr>
        <w:t>ы</w:t>
      </w:r>
      <w:proofErr w:type="spellEnd"/>
      <w:r w:rsidRPr="00532732">
        <w:rPr>
          <w:rFonts w:ascii="Times New Roman" w:hAnsi="Times New Roman"/>
          <w:sz w:val="24"/>
          <w:szCs w:val="24"/>
        </w:rPr>
        <w:t xml:space="preserve">) к.т.н., </w:t>
      </w:r>
      <w:proofErr w:type="spellStart"/>
      <w:r w:rsidRPr="00532732">
        <w:rPr>
          <w:rFonts w:ascii="Times New Roman" w:hAnsi="Times New Roman"/>
          <w:sz w:val="24"/>
          <w:szCs w:val="24"/>
        </w:rPr>
        <w:t>доцент___________________________Сергеев</w:t>
      </w:r>
      <w:proofErr w:type="spellEnd"/>
      <w:r w:rsidRPr="00532732">
        <w:rPr>
          <w:rFonts w:ascii="Times New Roman" w:hAnsi="Times New Roman"/>
          <w:sz w:val="24"/>
          <w:szCs w:val="24"/>
        </w:rPr>
        <w:t xml:space="preserve"> О.А.</w:t>
      </w:r>
    </w:p>
    <w:p w:rsidR="006F62D7" w:rsidRPr="00033114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033114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033114">
        <w:rPr>
          <w:rFonts w:ascii="Times New Roman" w:hAnsi="Times New Roman"/>
          <w:sz w:val="24"/>
          <w:szCs w:val="24"/>
        </w:rPr>
        <w:t>ы</w:t>
      </w:r>
      <w:proofErr w:type="spellEnd"/>
      <w:r w:rsidRPr="00033114">
        <w:rPr>
          <w:rFonts w:ascii="Times New Roman" w:hAnsi="Times New Roman"/>
          <w:sz w:val="24"/>
          <w:szCs w:val="24"/>
        </w:rPr>
        <w:t>) ________________________</w:t>
      </w:r>
      <w:r w:rsidR="002C26D7" w:rsidRPr="00033114">
        <w:rPr>
          <w:rFonts w:ascii="Times New Roman" w:hAnsi="Times New Roman"/>
          <w:sz w:val="24"/>
          <w:szCs w:val="24"/>
        </w:rPr>
        <w:t>_________</w:t>
      </w:r>
    </w:p>
    <w:p w:rsidR="00A47A0F" w:rsidRPr="00033114" w:rsidRDefault="00A47A0F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p w:rsidR="00A47A0F" w:rsidRPr="00532732" w:rsidRDefault="00A47A0F" w:rsidP="00A47A0F">
      <w:pPr>
        <w:rPr>
          <w:rFonts w:ascii="Times New Roman" w:eastAsia="Calibri" w:hAnsi="Times New Roman"/>
          <w:sz w:val="24"/>
          <w:szCs w:val="24"/>
        </w:rPr>
      </w:pPr>
      <w:r w:rsidRPr="00532732"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spellStart"/>
      <w:r w:rsidRPr="00532732">
        <w:rPr>
          <w:rFonts w:ascii="Times New Roman" w:hAnsi="Times New Roman"/>
          <w:sz w:val="24"/>
          <w:szCs w:val="24"/>
        </w:rPr>
        <w:t>ТКиЭМ</w:t>
      </w:r>
      <w:proofErr w:type="spellEnd"/>
      <w:r w:rsidRPr="00532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732">
        <w:rPr>
          <w:rFonts w:ascii="Times New Roman" w:hAnsi="Times New Roman"/>
          <w:sz w:val="24"/>
          <w:szCs w:val="24"/>
        </w:rPr>
        <w:t>д.ф.-м.н</w:t>
      </w:r>
      <w:proofErr w:type="spellEnd"/>
      <w:r w:rsidRPr="00532732">
        <w:rPr>
          <w:rFonts w:ascii="Times New Roman" w:hAnsi="Times New Roman"/>
          <w:sz w:val="24"/>
          <w:szCs w:val="24"/>
        </w:rPr>
        <w:t>., профессор ___________</w:t>
      </w:r>
      <w:r w:rsidRPr="00532732">
        <w:rPr>
          <w:rFonts w:ascii="Times New Roman" w:eastAsia="Calibri" w:hAnsi="Times New Roman"/>
          <w:sz w:val="24"/>
          <w:szCs w:val="24"/>
        </w:rPr>
        <w:t xml:space="preserve"> Игумнов Л.А.</w:t>
      </w:r>
    </w:p>
    <w:p w:rsidR="00A47A0F" w:rsidRPr="00033114" w:rsidRDefault="00A47A0F" w:rsidP="00A47A0F">
      <w:pPr>
        <w:rPr>
          <w:rFonts w:ascii="Times New Roman" w:hAnsi="Times New Roman"/>
          <w:sz w:val="28"/>
          <w:szCs w:val="24"/>
        </w:rPr>
      </w:pPr>
    </w:p>
    <w:p w:rsidR="00FF1285" w:rsidRPr="00033114" w:rsidRDefault="00FF1285" w:rsidP="00A47A0F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033114" w:rsidSect="000C68B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B6" w:rsidRDefault="00D55AB6">
      <w:r>
        <w:separator/>
      </w:r>
    </w:p>
  </w:endnote>
  <w:endnote w:type="continuationSeparator" w:id="0">
    <w:p w:rsidR="00D55AB6" w:rsidRDefault="00D5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FRM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Default="00620CD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402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2FD" w:rsidRDefault="00F402FD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Pr="00C735AE" w:rsidRDefault="00620CD3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402FD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FE7B75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402FD" w:rsidRPr="00C735AE" w:rsidRDefault="00F402FD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Pr="00C735AE" w:rsidRDefault="00F402FD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B6" w:rsidRDefault="00D55AB6">
      <w:r>
        <w:separator/>
      </w:r>
    </w:p>
  </w:footnote>
  <w:footnote w:type="continuationSeparator" w:id="0">
    <w:p w:rsidR="00D55AB6" w:rsidRDefault="00D55AB6">
      <w:r>
        <w:continuationSeparator/>
      </w:r>
    </w:p>
  </w:footnote>
  <w:footnote w:id="1">
    <w:p w:rsidR="00F402FD" w:rsidRPr="009719EF" w:rsidRDefault="00F402F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2">
    <w:p w:rsidR="00F402FD" w:rsidRPr="009719EF" w:rsidRDefault="00F402F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3">
    <w:p w:rsidR="00F402FD" w:rsidRPr="009719EF" w:rsidRDefault="00F402F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Pr="00C735AE" w:rsidRDefault="00F402F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D" w:rsidRPr="00C735AE" w:rsidRDefault="00F402F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60B7182E"/>
    <w:multiLevelType w:val="hybridMultilevel"/>
    <w:tmpl w:val="C2E6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>
    <w:nsid w:val="6B8C3B78"/>
    <w:multiLevelType w:val="hybridMultilevel"/>
    <w:tmpl w:val="227E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33114"/>
    <w:rsid w:val="00033A2C"/>
    <w:rsid w:val="00053313"/>
    <w:rsid w:val="0005785E"/>
    <w:rsid w:val="000626BE"/>
    <w:rsid w:val="00064E85"/>
    <w:rsid w:val="00066E4A"/>
    <w:rsid w:val="00073CEE"/>
    <w:rsid w:val="00077C94"/>
    <w:rsid w:val="00093090"/>
    <w:rsid w:val="00095B91"/>
    <w:rsid w:val="000B6195"/>
    <w:rsid w:val="000C1994"/>
    <w:rsid w:val="000C2BAD"/>
    <w:rsid w:val="000C52F1"/>
    <w:rsid w:val="000C68BF"/>
    <w:rsid w:val="000F2EF1"/>
    <w:rsid w:val="0010364D"/>
    <w:rsid w:val="00110EB6"/>
    <w:rsid w:val="001176B5"/>
    <w:rsid w:val="00130028"/>
    <w:rsid w:val="001302EB"/>
    <w:rsid w:val="00157DBF"/>
    <w:rsid w:val="0016108A"/>
    <w:rsid w:val="00170DB9"/>
    <w:rsid w:val="0017446C"/>
    <w:rsid w:val="00180D6A"/>
    <w:rsid w:val="001B04AD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1F7089"/>
    <w:rsid w:val="002001D3"/>
    <w:rsid w:val="00203CD8"/>
    <w:rsid w:val="002073D7"/>
    <w:rsid w:val="002141BE"/>
    <w:rsid w:val="00227E79"/>
    <w:rsid w:val="00235182"/>
    <w:rsid w:val="00235C9B"/>
    <w:rsid w:val="00237611"/>
    <w:rsid w:val="00242B00"/>
    <w:rsid w:val="00292A4E"/>
    <w:rsid w:val="00293515"/>
    <w:rsid w:val="002A1EB5"/>
    <w:rsid w:val="002A60FF"/>
    <w:rsid w:val="002B16F5"/>
    <w:rsid w:val="002B2163"/>
    <w:rsid w:val="002C26D7"/>
    <w:rsid w:val="002D6F27"/>
    <w:rsid w:val="002E3A25"/>
    <w:rsid w:val="002E79FA"/>
    <w:rsid w:val="0030212B"/>
    <w:rsid w:val="00303F1B"/>
    <w:rsid w:val="003078C1"/>
    <w:rsid w:val="00316404"/>
    <w:rsid w:val="00321063"/>
    <w:rsid w:val="00324F8D"/>
    <w:rsid w:val="00327E30"/>
    <w:rsid w:val="00333445"/>
    <w:rsid w:val="00337D4E"/>
    <w:rsid w:val="003416CD"/>
    <w:rsid w:val="003424CA"/>
    <w:rsid w:val="00343BCA"/>
    <w:rsid w:val="00365DB8"/>
    <w:rsid w:val="00380B09"/>
    <w:rsid w:val="00382F8E"/>
    <w:rsid w:val="0038490F"/>
    <w:rsid w:val="00387EC5"/>
    <w:rsid w:val="003901D8"/>
    <w:rsid w:val="00396923"/>
    <w:rsid w:val="003A3694"/>
    <w:rsid w:val="003A454B"/>
    <w:rsid w:val="003C0479"/>
    <w:rsid w:val="003D362A"/>
    <w:rsid w:val="003E0A17"/>
    <w:rsid w:val="003E37E8"/>
    <w:rsid w:val="003E4571"/>
    <w:rsid w:val="003E46F7"/>
    <w:rsid w:val="003E5334"/>
    <w:rsid w:val="003E6CA9"/>
    <w:rsid w:val="003F3960"/>
    <w:rsid w:val="003F5B5B"/>
    <w:rsid w:val="00400BC0"/>
    <w:rsid w:val="004050E2"/>
    <w:rsid w:val="00412ABE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55CC"/>
    <w:rsid w:val="004B76EF"/>
    <w:rsid w:val="004C674C"/>
    <w:rsid w:val="004C69EA"/>
    <w:rsid w:val="004C6F07"/>
    <w:rsid w:val="004D6B23"/>
    <w:rsid w:val="004F069C"/>
    <w:rsid w:val="004F0C76"/>
    <w:rsid w:val="00501698"/>
    <w:rsid w:val="00507CC7"/>
    <w:rsid w:val="00515CED"/>
    <w:rsid w:val="005213BB"/>
    <w:rsid w:val="00524421"/>
    <w:rsid w:val="00532732"/>
    <w:rsid w:val="00535A1E"/>
    <w:rsid w:val="00535E47"/>
    <w:rsid w:val="005378EB"/>
    <w:rsid w:val="005428F3"/>
    <w:rsid w:val="0056375A"/>
    <w:rsid w:val="00564E6F"/>
    <w:rsid w:val="0056643E"/>
    <w:rsid w:val="005A2253"/>
    <w:rsid w:val="005A46D2"/>
    <w:rsid w:val="005A59A6"/>
    <w:rsid w:val="005B2D4E"/>
    <w:rsid w:val="005B6029"/>
    <w:rsid w:val="005B6794"/>
    <w:rsid w:val="005C18AF"/>
    <w:rsid w:val="005D273F"/>
    <w:rsid w:val="005D7652"/>
    <w:rsid w:val="005E017B"/>
    <w:rsid w:val="005E4FA2"/>
    <w:rsid w:val="005F440A"/>
    <w:rsid w:val="005F5E0A"/>
    <w:rsid w:val="00600964"/>
    <w:rsid w:val="00610044"/>
    <w:rsid w:val="00613AEE"/>
    <w:rsid w:val="00614340"/>
    <w:rsid w:val="00620CD3"/>
    <w:rsid w:val="00622100"/>
    <w:rsid w:val="00623144"/>
    <w:rsid w:val="00636AF2"/>
    <w:rsid w:val="006522DC"/>
    <w:rsid w:val="00654A47"/>
    <w:rsid w:val="0067366E"/>
    <w:rsid w:val="00680013"/>
    <w:rsid w:val="00680765"/>
    <w:rsid w:val="0068426A"/>
    <w:rsid w:val="006A4AA8"/>
    <w:rsid w:val="006B772B"/>
    <w:rsid w:val="006D720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79E9"/>
    <w:rsid w:val="00751242"/>
    <w:rsid w:val="00755F78"/>
    <w:rsid w:val="00761AC8"/>
    <w:rsid w:val="0076502C"/>
    <w:rsid w:val="007716F9"/>
    <w:rsid w:val="00781485"/>
    <w:rsid w:val="00785E08"/>
    <w:rsid w:val="00786EFA"/>
    <w:rsid w:val="00794DBD"/>
    <w:rsid w:val="007A770C"/>
    <w:rsid w:val="007A7A1B"/>
    <w:rsid w:val="007B0FF2"/>
    <w:rsid w:val="007B140C"/>
    <w:rsid w:val="007B723F"/>
    <w:rsid w:val="007C62D2"/>
    <w:rsid w:val="007C62F8"/>
    <w:rsid w:val="007C6520"/>
    <w:rsid w:val="007D1B93"/>
    <w:rsid w:val="007D2A05"/>
    <w:rsid w:val="007D6E92"/>
    <w:rsid w:val="007E1E90"/>
    <w:rsid w:val="007E2F2E"/>
    <w:rsid w:val="00810517"/>
    <w:rsid w:val="00823F46"/>
    <w:rsid w:val="008342EB"/>
    <w:rsid w:val="00837622"/>
    <w:rsid w:val="0084102D"/>
    <w:rsid w:val="00853AEA"/>
    <w:rsid w:val="00855732"/>
    <w:rsid w:val="00855E2E"/>
    <w:rsid w:val="008A70C2"/>
    <w:rsid w:val="008A74EF"/>
    <w:rsid w:val="008B4DD8"/>
    <w:rsid w:val="008B5C91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713D"/>
    <w:rsid w:val="009672E2"/>
    <w:rsid w:val="009719EF"/>
    <w:rsid w:val="00991BDB"/>
    <w:rsid w:val="009A3F7E"/>
    <w:rsid w:val="009B255B"/>
    <w:rsid w:val="009B2923"/>
    <w:rsid w:val="009B6DC1"/>
    <w:rsid w:val="009C5CA9"/>
    <w:rsid w:val="009D72AB"/>
    <w:rsid w:val="009E65E1"/>
    <w:rsid w:val="00A13E13"/>
    <w:rsid w:val="00A14AD9"/>
    <w:rsid w:val="00A2424A"/>
    <w:rsid w:val="00A2471B"/>
    <w:rsid w:val="00A25FDE"/>
    <w:rsid w:val="00A30044"/>
    <w:rsid w:val="00A357FF"/>
    <w:rsid w:val="00A35D59"/>
    <w:rsid w:val="00A37F4D"/>
    <w:rsid w:val="00A47A0F"/>
    <w:rsid w:val="00A55147"/>
    <w:rsid w:val="00A63BDA"/>
    <w:rsid w:val="00A64F19"/>
    <w:rsid w:val="00A654BB"/>
    <w:rsid w:val="00A6696A"/>
    <w:rsid w:val="00A856CF"/>
    <w:rsid w:val="00AA0BE9"/>
    <w:rsid w:val="00AB3717"/>
    <w:rsid w:val="00AD56D7"/>
    <w:rsid w:val="00AE0364"/>
    <w:rsid w:val="00AF3A7F"/>
    <w:rsid w:val="00AF415D"/>
    <w:rsid w:val="00AF4E4E"/>
    <w:rsid w:val="00AF735A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42F47"/>
    <w:rsid w:val="00B60800"/>
    <w:rsid w:val="00B748B7"/>
    <w:rsid w:val="00B80F7A"/>
    <w:rsid w:val="00B82C64"/>
    <w:rsid w:val="00B85C23"/>
    <w:rsid w:val="00B9055C"/>
    <w:rsid w:val="00B90675"/>
    <w:rsid w:val="00BA46AC"/>
    <w:rsid w:val="00BA5B67"/>
    <w:rsid w:val="00BA5CA1"/>
    <w:rsid w:val="00BE4E08"/>
    <w:rsid w:val="00BE730D"/>
    <w:rsid w:val="00BF4B95"/>
    <w:rsid w:val="00C0221A"/>
    <w:rsid w:val="00C2780B"/>
    <w:rsid w:val="00C33E34"/>
    <w:rsid w:val="00C735AE"/>
    <w:rsid w:val="00C92B94"/>
    <w:rsid w:val="00CA6632"/>
    <w:rsid w:val="00CC4180"/>
    <w:rsid w:val="00D00C4F"/>
    <w:rsid w:val="00D25FA8"/>
    <w:rsid w:val="00D35118"/>
    <w:rsid w:val="00D442AC"/>
    <w:rsid w:val="00D46F44"/>
    <w:rsid w:val="00D55AB6"/>
    <w:rsid w:val="00D76CA7"/>
    <w:rsid w:val="00D8624A"/>
    <w:rsid w:val="00DA5574"/>
    <w:rsid w:val="00DC0331"/>
    <w:rsid w:val="00DC231B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009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E4B4F"/>
    <w:rsid w:val="00F007DF"/>
    <w:rsid w:val="00F30422"/>
    <w:rsid w:val="00F31C3C"/>
    <w:rsid w:val="00F3325A"/>
    <w:rsid w:val="00F402FD"/>
    <w:rsid w:val="00F42C66"/>
    <w:rsid w:val="00F432A2"/>
    <w:rsid w:val="00F460BE"/>
    <w:rsid w:val="00F52D95"/>
    <w:rsid w:val="00F56275"/>
    <w:rsid w:val="00F6033C"/>
    <w:rsid w:val="00F618D6"/>
    <w:rsid w:val="00F64BD4"/>
    <w:rsid w:val="00F64CB8"/>
    <w:rsid w:val="00F726D7"/>
    <w:rsid w:val="00F821B9"/>
    <w:rsid w:val="00F82BD8"/>
    <w:rsid w:val="00F83130"/>
    <w:rsid w:val="00F93B4B"/>
    <w:rsid w:val="00FA3935"/>
    <w:rsid w:val="00FA4EBE"/>
    <w:rsid w:val="00FB6A14"/>
    <w:rsid w:val="00FC4D0D"/>
    <w:rsid w:val="00FC5366"/>
    <w:rsid w:val="00FC6EC8"/>
    <w:rsid w:val="00FE6A1D"/>
    <w:rsid w:val="00FE7B75"/>
    <w:rsid w:val="00FF1285"/>
    <w:rsid w:val="00FF1438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F402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C52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2F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402FD"/>
    <w:rPr>
      <w:rFonts w:ascii="Times New Roman" w:hAnsi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FEMSM_CGW.doc" TargetMode="External"/><Relationship Id="rId13" Type="http://schemas.openxmlformats.org/officeDocument/2006/relationships/hyperlink" Target="http://feafree.cha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e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mt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mechanics.htm" TargetMode="External"/><Relationship Id="rId14" Type="http://schemas.openxmlformats.org/officeDocument/2006/relationships/hyperlink" Target="http://mysopromat.ru/cgi-bin/yabb2/YaBB.pl?catselect=feaprogram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6F31-38E4-4354-B257-D82CEF3D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Krokoz™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2021-03-19T06:16:00Z</dcterms:created>
  <dcterms:modified xsi:type="dcterms:W3CDTF">2021-03-19T06:16:00Z</dcterms:modified>
</cp:coreProperties>
</file>