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B9" w:rsidRDefault="00C7291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o</w:t>
      </w:r>
      <w:r w:rsidR="0097657F">
        <w:rPr>
          <w:rFonts w:ascii="Times New Roman" w:hAnsi="Times New Roman"/>
          <w:sz w:val="24"/>
          <w:szCs w:val="24"/>
        </w:rPr>
        <w:t>МИНИСТЕРСТВО</w:t>
      </w:r>
      <w:proofErr w:type="gramEnd"/>
      <w:r w:rsidR="0097657F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374B9" w:rsidRDefault="00137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4B9" w:rsidRDefault="00137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1374B9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Институт информационных технологий, математики и механики </w:t>
            </w:r>
          </w:p>
        </w:tc>
      </w:tr>
    </w:tbl>
    <w:p w:rsidR="001374B9" w:rsidRDefault="0097657F">
      <w:pPr>
        <w:tabs>
          <w:tab w:val="center" w:pos="4394"/>
          <w:tab w:val="left" w:pos="6645"/>
        </w:tabs>
        <w:spacing w:line="21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(факультет / институт / филиал)</w:t>
      </w:r>
      <w:r>
        <w:rPr>
          <w:rFonts w:ascii="Times New Roman" w:hAnsi="Times New Roman"/>
          <w:sz w:val="20"/>
          <w:szCs w:val="20"/>
        </w:rPr>
        <w:tab/>
      </w:r>
    </w:p>
    <w:p w:rsidR="001374B9" w:rsidRDefault="00137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216" w:type="dxa"/>
        <w:tblInd w:w="4789" w:type="dxa"/>
        <w:tblLook w:val="01E0" w:firstRow="1" w:lastRow="1" w:firstColumn="1" w:lastColumn="1" w:noHBand="0" w:noVBand="0"/>
      </w:tblPr>
      <w:tblGrid>
        <w:gridCol w:w="4216"/>
      </w:tblGrid>
      <w:tr w:rsidR="001374B9">
        <w:trPr>
          <w:trHeight w:val="280"/>
        </w:trPr>
        <w:tc>
          <w:tcPr>
            <w:tcW w:w="4216" w:type="dxa"/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374B9" w:rsidRDefault="001374B9">
      <w:pPr>
        <w:spacing w:after="0" w:line="240" w:lineRule="auto"/>
      </w:pPr>
    </w:p>
    <w:tbl>
      <w:tblPr>
        <w:tblW w:w="5116" w:type="dxa"/>
        <w:tblInd w:w="3888" w:type="dxa"/>
        <w:tblLook w:val="01E0" w:firstRow="1" w:lastRow="1" w:firstColumn="1" w:lastColumn="1" w:noHBand="0" w:noVBand="0"/>
      </w:tblPr>
      <w:tblGrid>
        <w:gridCol w:w="1948"/>
        <w:gridCol w:w="1270"/>
        <w:gridCol w:w="1898"/>
      </w:tblGrid>
      <w:tr w:rsidR="001374B9">
        <w:trPr>
          <w:trHeight w:val="280"/>
        </w:trPr>
        <w:tc>
          <w:tcPr>
            <w:tcW w:w="1948" w:type="dxa"/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1374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В.П.</w:t>
            </w:r>
          </w:p>
        </w:tc>
      </w:tr>
    </w:tbl>
    <w:p w:rsidR="001374B9" w:rsidRDefault="001374B9">
      <w:pPr>
        <w:spacing w:after="0" w:line="240" w:lineRule="auto"/>
        <w:jc w:val="center"/>
      </w:pPr>
    </w:p>
    <w:tbl>
      <w:tblPr>
        <w:tblW w:w="3939" w:type="dxa"/>
        <w:tblInd w:w="5632" w:type="dxa"/>
        <w:tblLook w:val="01E0" w:firstRow="1" w:lastRow="1" w:firstColumn="1" w:lastColumn="1" w:noHBand="0" w:noVBand="0"/>
      </w:tblPr>
      <w:tblGrid>
        <w:gridCol w:w="336"/>
        <w:gridCol w:w="519"/>
        <w:gridCol w:w="284"/>
        <w:gridCol w:w="298"/>
        <w:gridCol w:w="1522"/>
        <w:gridCol w:w="980"/>
      </w:tblGrid>
      <w:tr w:rsidR="001374B9">
        <w:trPr>
          <w:trHeight w:val="280"/>
        </w:trPr>
        <w:tc>
          <w:tcPr>
            <w:tcW w:w="235" w:type="dxa"/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1374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374B9" w:rsidRDefault="001374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1374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 г.</w:t>
            </w:r>
          </w:p>
        </w:tc>
      </w:tr>
    </w:tbl>
    <w:p w:rsidR="001374B9" w:rsidRDefault="001374B9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1374B9" w:rsidRDefault="001374B9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1374B9" w:rsidRDefault="009765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1374B9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Компьютерные методы классификации и реализации диффеоморфизмов поверхностей </w:t>
            </w:r>
          </w:p>
        </w:tc>
      </w:tr>
    </w:tbl>
    <w:p w:rsidR="001374B9" w:rsidRDefault="0097657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1374B9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374B9" w:rsidRDefault="0097657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бакалавриат</w:t>
      </w:r>
      <w:proofErr w:type="spellEnd"/>
      <w:r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>
        <w:rPr>
          <w:rFonts w:ascii="Times New Roman" w:hAnsi="Times New Roman"/>
          <w:sz w:val="18"/>
          <w:szCs w:val="18"/>
        </w:rPr>
        <w:t>специалитет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1374B9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01.03.01 Математика</w:t>
            </w:r>
          </w:p>
        </w:tc>
      </w:tr>
    </w:tbl>
    <w:p w:rsidR="001374B9" w:rsidRDefault="0097657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1374B9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8A0B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(</w:t>
            </w:r>
            <w:r w:rsidR="0097657F">
              <w:rPr>
                <w:rFonts w:ascii="Times New Roman" w:eastAsia="Calibri" w:hAnsi="Times New Roman"/>
                <w:b/>
                <w:sz w:val="24"/>
                <w:szCs w:val="24"/>
              </w:rPr>
              <w:t>Общий профиль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1374B9" w:rsidRDefault="0097657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профиль / магистерская программа / специализация)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1374B9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1374B9" w:rsidRDefault="0097657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1374B9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1374B9" w:rsidRDefault="009765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374B9" w:rsidRDefault="009765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1374B9" w:rsidRDefault="001374B9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1374B9" w:rsidRDefault="0097657F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1374B9" w:rsidRDefault="0097657F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2017</w:t>
      </w:r>
      <w:r>
        <w:br w:type="page"/>
      </w:r>
    </w:p>
    <w:p w:rsidR="001374B9" w:rsidRPr="00560A71" w:rsidRDefault="0097657F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jc w:val="both"/>
        <w:rPr>
          <w:rFonts w:ascii="Times New Roman" w:hAnsi="Times New Roman"/>
          <w:i/>
          <w:sz w:val="24"/>
          <w:szCs w:val="24"/>
        </w:rPr>
      </w:pPr>
      <w:r w:rsidRPr="00560A71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1374B9" w:rsidRDefault="009765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.В.ДВ.09.02 «</w:t>
      </w:r>
      <w:bookmarkStart w:id="0" w:name="__DdeLink__25854_3285932093"/>
      <w:r>
        <w:rPr>
          <w:rFonts w:ascii="Times New Roman" w:hAnsi="Times New Roman"/>
          <w:sz w:val="24"/>
          <w:szCs w:val="24"/>
        </w:rPr>
        <w:t>Компьютерные методы классификации и реализации диффеоморфизмов поверхностей</w:t>
      </w:r>
      <w:bookmarkEnd w:id="0"/>
      <w:r>
        <w:rPr>
          <w:rFonts w:ascii="Times New Roman" w:hAnsi="Times New Roman"/>
          <w:sz w:val="24"/>
          <w:szCs w:val="24"/>
        </w:rPr>
        <w:t xml:space="preserve">» относится к дисциплинам по выбору вариативной части ОПОП Математика по направлению подготовки «Общий профиль» и изучается в 8 семестре. </w:t>
      </w:r>
      <w:r>
        <w:rPr>
          <w:rFonts w:ascii="Times New Roman" w:hAnsi="Times New Roman"/>
          <w:color w:val="000000"/>
          <w:sz w:val="24"/>
          <w:szCs w:val="24"/>
        </w:rPr>
        <w:t>Много интересных и красивых результатов в динамике связаны с комплексными функциями. В частности  Метод Ньютона для комплексных функций и динамика квадратичного отображения приводят к интересной математике, так же как красивым иллюстрациям. Так известное множество Мандельброта глубоко связано с динамикой квадратичного отображения.</w:t>
      </w:r>
      <w:r>
        <w:rPr>
          <w:rFonts w:ascii="Times New Roman" w:hAnsi="Times New Roman"/>
          <w:sz w:val="24"/>
          <w:szCs w:val="24"/>
        </w:rPr>
        <w:t xml:space="preserve"> Изучение методов комплексной динамики весьма полезно. Во-первых, изучаемые элементы комплексной динамики являются к настоящему времени классическими, фундаментальными результатами современной математики, нашедшими приложения в самых различных ее областях.  И, во-вторых, при изучении комплексной динамики существенно применяются многие наиважнейшие результаты из таких освоенных ранее дисциплин фундаментальной математики, относящихся к  базовой части профессионального цикла, как математический анализ, теория функций комплексного переменного, функциональный анализ, дифференциальные уравнения. </w:t>
      </w:r>
      <w:proofErr w:type="gramStart"/>
      <w:r>
        <w:rPr>
          <w:rFonts w:ascii="Times New Roman" w:hAnsi="Times New Roman"/>
          <w:sz w:val="24"/>
          <w:szCs w:val="24"/>
        </w:rPr>
        <w:t xml:space="preserve">Никакие особые требования  к «входным» знаниям, умениям и готовностям обучающихся,  необходимым при освоении данной </w:t>
      </w:r>
      <w:r>
        <w:rPr>
          <w:rFonts w:ascii="Times New Roman" w:hAnsi="Times New Roman"/>
          <w:spacing w:val="-3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>ы и приобретенным в результате освоения предшествующих дисциплин,  не предусматриваются.</w:t>
      </w:r>
      <w:proofErr w:type="gramEnd"/>
      <w:r>
        <w:rPr>
          <w:rFonts w:ascii="Times New Roman" w:hAnsi="Times New Roman"/>
          <w:sz w:val="24"/>
          <w:szCs w:val="24"/>
        </w:rPr>
        <w:t xml:space="preserve">  Знания, полученные при освоении данной дисциплины, будут полезными при освоении учебных дисциплин в магистратуре, связанных по тематике с динамическими системами.</w:t>
      </w:r>
    </w:p>
    <w:p w:rsidR="001374B9" w:rsidRDefault="0097657F">
      <w:pPr>
        <w:spacing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Целью освоения </w:t>
      </w:r>
      <w:r>
        <w:rPr>
          <w:rFonts w:ascii="Times New Roman" w:hAnsi="Times New Roman"/>
          <w:b/>
          <w:spacing w:val="-3"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 xml:space="preserve">ы (модуля) </w:t>
      </w:r>
      <w:r>
        <w:rPr>
          <w:rFonts w:ascii="Times New Roman" w:hAnsi="Times New Roman"/>
          <w:sz w:val="24"/>
          <w:szCs w:val="24"/>
        </w:rPr>
        <w:t xml:space="preserve">«Компьютерные методы классификации и реализации диффеоморфизмов поверхностей» является </w:t>
      </w:r>
      <w:r>
        <w:rPr>
          <w:rFonts w:ascii="Times New Roman" w:hAnsi="Times New Roman"/>
          <w:bCs/>
          <w:sz w:val="24"/>
          <w:szCs w:val="24"/>
        </w:rPr>
        <w:t xml:space="preserve">возможность эффективного применения современных достижений комплексной динамики в теории динамических систем. В частности, освоение указанной дисциплины предполагает достаточно детальное изучение основ топологии, теории функций комплексного переменного и динамических систем с последующим применением этих знаний к решению современных задач качественной теории дифференциальных уравнений и теории бифуркаций.  </w:t>
      </w:r>
    </w:p>
    <w:p w:rsidR="001374B9" w:rsidRDefault="001374B9">
      <w:pPr>
        <w:spacing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1374B9" w:rsidRDefault="001374B9">
      <w:pPr>
        <w:pStyle w:val="af0"/>
        <w:ind w:left="550" w:right="-78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374B9" w:rsidRPr="00560A71" w:rsidRDefault="0097657F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rPr>
          <w:sz w:val="24"/>
          <w:szCs w:val="24"/>
        </w:rPr>
      </w:pPr>
      <w:r w:rsidRPr="00560A7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60A71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60A71">
        <w:rPr>
          <w:rFonts w:ascii="Times New Roman" w:hAnsi="Times New Roman"/>
          <w:b/>
          <w:sz w:val="24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1374B9" w:rsidRDefault="001374B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14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24"/>
        <w:gridCol w:w="5722"/>
      </w:tblGrid>
      <w:tr w:rsidR="001374B9">
        <w:trPr>
          <w:trHeight w:val="1277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74B9" w:rsidRDefault="0097657F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1374B9" w:rsidRDefault="0097657F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74B9" w:rsidRDefault="0097657F">
            <w:pPr>
              <w:tabs>
                <w:tab w:val="left" w:pos="-54"/>
                <w:tab w:val="left" w:pos="426"/>
              </w:tabs>
              <w:ind w:left="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 xml:space="preserve"> (модулю), характеризующие этапы формирования компетенций</w:t>
            </w:r>
          </w:p>
        </w:tc>
      </w:tr>
      <w:tr w:rsidR="001374B9">
        <w:trPr>
          <w:trHeight w:val="508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74B9" w:rsidRDefault="0097657F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 xml:space="preserve">ОПК-4 – способность находить, анализировать, реализовывать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и использовать на практике математические алгоритмы, в том числе с применением современных вычислительных систем</w:t>
            </w:r>
          </w:p>
          <w:p w:rsidR="001374B9" w:rsidRDefault="0097657F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Заведующий этап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74B9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(ОПК-4)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>находить</w:t>
            </w:r>
            <w:proofErr w:type="spellEnd"/>
            <w:r>
              <w:rPr>
                <w:rFonts w:ascii="Times New Roman" w:hAnsi="Times New Roman"/>
              </w:rPr>
              <w:t xml:space="preserve">, анализировать и использовать на практике математические алгоритмы </w:t>
            </w:r>
          </w:p>
          <w:p w:rsidR="001374B9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(ОПК-4)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Знать</w:t>
            </w:r>
            <w:r>
              <w:rPr>
                <w:rFonts w:ascii="Times New Roman" w:hAnsi="Times New Roman"/>
              </w:rPr>
              <w:t>особенности</w:t>
            </w:r>
            <w:proofErr w:type="spellEnd"/>
            <w:r>
              <w:rPr>
                <w:rFonts w:ascii="Times New Roman" w:hAnsi="Times New Roman"/>
              </w:rPr>
              <w:t xml:space="preserve"> применения современных вычислительных систем на практике </w:t>
            </w:r>
          </w:p>
          <w:p w:rsidR="001374B9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(ОПК-4) </w:t>
            </w:r>
            <w:r>
              <w:rPr>
                <w:rFonts w:ascii="Times New Roman" w:hAnsi="Times New Roman"/>
                <w:b/>
                <w:i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методами реализовывать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математические алгоритмы  </w:t>
            </w:r>
          </w:p>
        </w:tc>
      </w:tr>
      <w:tr w:rsidR="001374B9">
        <w:trPr>
          <w:trHeight w:val="523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74B9" w:rsidRDefault="0097657F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lastRenderedPageBreak/>
              <w:t>ПК-3 –способностью строго доказать утверждение, сформулировать результат, увидеть следствия полученного результата</w:t>
            </w:r>
          </w:p>
          <w:p w:rsidR="001374B9" w:rsidRDefault="0097657F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Заведующий этап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74B9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(ПК-3)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>строго</w:t>
            </w:r>
            <w:proofErr w:type="spellEnd"/>
            <w:r>
              <w:rPr>
                <w:rFonts w:ascii="Times New Roman" w:hAnsi="Times New Roman"/>
              </w:rPr>
              <w:t xml:space="preserve"> доказать утверждение, сформулировать результат, увидеть следствия полученного результата</w:t>
            </w:r>
          </w:p>
          <w:p w:rsidR="001374B9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(ПК-3)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Знать</w:t>
            </w:r>
            <w:r>
              <w:rPr>
                <w:rFonts w:ascii="Times New Roman" w:hAnsi="Times New Roman"/>
              </w:rPr>
              <w:t>основные</w:t>
            </w:r>
            <w:proofErr w:type="spellEnd"/>
            <w:r>
              <w:rPr>
                <w:rFonts w:ascii="Times New Roman" w:hAnsi="Times New Roman"/>
              </w:rPr>
              <w:t xml:space="preserve"> принципы строгого доказательства утверждения</w:t>
            </w:r>
          </w:p>
          <w:p w:rsidR="001374B9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(ПК-3)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Владеть</w:t>
            </w:r>
            <w:r>
              <w:rPr>
                <w:rFonts w:ascii="Times New Roman" w:hAnsi="Times New Roman"/>
                <w:color w:val="000000"/>
              </w:rPr>
              <w:t>навыками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формулирования результатов и следствий из них</w:t>
            </w:r>
          </w:p>
        </w:tc>
      </w:tr>
    </w:tbl>
    <w:p w:rsidR="001374B9" w:rsidRDefault="001374B9">
      <w:pPr>
        <w:pStyle w:val="ab"/>
        <w:tabs>
          <w:tab w:val="left" w:pos="426"/>
        </w:tabs>
        <w:ind w:left="0" w:firstLine="0"/>
        <w:rPr>
          <w:sz w:val="28"/>
        </w:rPr>
      </w:pPr>
    </w:p>
    <w:p w:rsidR="001374B9" w:rsidRDefault="001374B9">
      <w:pPr>
        <w:pStyle w:val="ab"/>
        <w:tabs>
          <w:tab w:val="left" w:pos="426"/>
        </w:tabs>
        <w:ind w:left="426" w:right="-853" w:firstLine="0"/>
        <w:rPr>
          <w:b/>
          <w:sz w:val="28"/>
        </w:rPr>
      </w:pPr>
    </w:p>
    <w:p w:rsidR="001374B9" w:rsidRPr="00560A71" w:rsidRDefault="0097657F">
      <w:pPr>
        <w:pStyle w:val="ab"/>
        <w:numPr>
          <w:ilvl w:val="0"/>
          <w:numId w:val="1"/>
        </w:numPr>
        <w:tabs>
          <w:tab w:val="left" w:pos="426"/>
        </w:tabs>
        <w:ind w:left="426" w:right="-853" w:firstLine="0"/>
        <w:rPr>
          <w:b/>
        </w:rPr>
      </w:pPr>
      <w:r w:rsidRPr="00560A71">
        <w:rPr>
          <w:b/>
        </w:rPr>
        <w:t>Структура и содержание дисциплины (модуля)</w:t>
      </w:r>
    </w:p>
    <w:p w:rsidR="00002EDD" w:rsidRDefault="00002EDD" w:rsidP="00002EDD">
      <w:pPr>
        <w:pStyle w:val="ab"/>
        <w:tabs>
          <w:tab w:val="left" w:pos="426"/>
        </w:tabs>
        <w:ind w:left="426" w:right="-853" w:firstLine="0"/>
        <w:rPr>
          <w:b/>
          <w:sz w:val="28"/>
        </w:rPr>
      </w:pPr>
    </w:p>
    <w:p w:rsidR="00002EDD" w:rsidRPr="00002EDD" w:rsidRDefault="00002EDD" w:rsidP="00560A71">
      <w:pPr>
        <w:tabs>
          <w:tab w:val="left" w:pos="-567"/>
          <w:tab w:val="left" w:pos="0"/>
        </w:tabs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002EDD">
        <w:rPr>
          <w:rFonts w:ascii="Times New Roman" w:hAnsi="Times New Roman"/>
          <w:sz w:val="24"/>
          <w:szCs w:val="24"/>
        </w:rPr>
        <w:t xml:space="preserve">Объем дисциплины (модуля) составляет 4 зачетные единицы, всего 144 часа, из которых 46 часов составляет контактная работа обучающегося с преподавателем (22 часа занятия лекционного типа, 22часа практические занятия, 2 часа промежуточной аттестации),  98 часов составляет самостоятельная работа обучающегося (в </w:t>
      </w:r>
      <w:proofErr w:type="spellStart"/>
      <w:r w:rsidRPr="00002EDD">
        <w:rPr>
          <w:rFonts w:ascii="Times New Roman" w:hAnsi="Times New Roman"/>
          <w:sz w:val="24"/>
          <w:szCs w:val="24"/>
        </w:rPr>
        <w:t>т.ч</w:t>
      </w:r>
      <w:proofErr w:type="spellEnd"/>
      <w:r w:rsidRPr="00002EDD">
        <w:rPr>
          <w:rFonts w:ascii="Times New Roman" w:hAnsi="Times New Roman"/>
          <w:sz w:val="24"/>
          <w:szCs w:val="24"/>
        </w:rPr>
        <w:t>. 36 часов подготовки к экзамену).</w:t>
      </w:r>
    </w:p>
    <w:p w:rsidR="00002EDD" w:rsidRPr="00560A71" w:rsidRDefault="00002EDD" w:rsidP="00560A71">
      <w:pPr>
        <w:spacing w:after="0"/>
        <w:ind w:left="-142" w:firstLine="142"/>
        <w:rPr>
          <w:rFonts w:ascii="Times New Roman" w:hAnsi="Times New Roman"/>
          <w:sz w:val="24"/>
          <w:szCs w:val="24"/>
          <w:u w:val="single"/>
        </w:rPr>
      </w:pPr>
      <w:r w:rsidRPr="00560A71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p w:rsidR="00002EDD" w:rsidRPr="00002EDD" w:rsidRDefault="00002EDD" w:rsidP="00002EDD">
      <w:pPr>
        <w:ind w:left="-709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22"/>
        <w:gridCol w:w="563"/>
        <w:gridCol w:w="506"/>
        <w:gridCol w:w="640"/>
        <w:gridCol w:w="506"/>
        <w:gridCol w:w="651"/>
        <w:gridCol w:w="542"/>
        <w:gridCol w:w="58"/>
        <w:gridCol w:w="525"/>
        <w:gridCol w:w="685"/>
        <w:gridCol w:w="619"/>
        <w:gridCol w:w="482"/>
        <w:gridCol w:w="518"/>
        <w:gridCol w:w="457"/>
        <w:gridCol w:w="49"/>
        <w:gridCol w:w="526"/>
        <w:gridCol w:w="506"/>
      </w:tblGrid>
      <w:tr w:rsidR="00002EDD" w:rsidRPr="00002EDD" w:rsidTr="00CA5597">
        <w:trPr>
          <w:trHeight w:val="135"/>
          <w:jc w:val="center"/>
        </w:trPr>
        <w:tc>
          <w:tcPr>
            <w:tcW w:w="20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764" w:type="dxa"/>
            <w:gridSpan w:val="1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D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02EDD" w:rsidRPr="00002EDD" w:rsidTr="00CA5597">
        <w:trPr>
          <w:trHeight w:val="791"/>
          <w:jc w:val="center"/>
        </w:trPr>
        <w:tc>
          <w:tcPr>
            <w:tcW w:w="20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002EDD" w:rsidRPr="00002EDD" w:rsidRDefault="00002EDD" w:rsidP="0000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2EDD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002EDD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EDD" w:rsidRPr="00002EDD" w:rsidTr="00CA5597">
        <w:trPr>
          <w:trHeight w:val="1611"/>
          <w:jc w:val="center"/>
        </w:trPr>
        <w:tc>
          <w:tcPr>
            <w:tcW w:w="20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02EDD" w:rsidRPr="00002EDD" w:rsidRDefault="00002EDD" w:rsidP="00002EDD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2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02EDD" w:rsidRPr="00002EDD" w:rsidRDefault="00002EDD" w:rsidP="00002EDD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02EDD" w:rsidRPr="00002EDD" w:rsidRDefault="00002EDD" w:rsidP="00002EDD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1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02EDD" w:rsidRPr="00002EDD" w:rsidRDefault="00002EDD" w:rsidP="00002EDD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02ED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EDD" w:rsidRPr="00002EDD" w:rsidTr="00CA5597">
        <w:trPr>
          <w:cantSplit/>
          <w:trHeight w:hRule="exact" w:val="1625"/>
          <w:jc w:val="center"/>
        </w:trPr>
        <w:tc>
          <w:tcPr>
            <w:tcW w:w="20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textDirection w:val="btLr"/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560A71" w:rsidRPr="00002EDD" w:rsidRDefault="00002EDD" w:rsidP="00560A7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>Введение в дисциплину.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  <w:p w:rsidR="00002EDD" w:rsidRPr="00002EDD" w:rsidRDefault="00002EDD" w:rsidP="00002EDD">
            <w:pPr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>Периодические точки и устойчивые множества. Графический анализ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  <w:p w:rsidR="00002EDD" w:rsidRPr="00002EDD" w:rsidRDefault="00002EDD" w:rsidP="00002EDD">
            <w:pPr>
              <w:tabs>
                <w:tab w:val="left" w:pos="643"/>
              </w:tabs>
              <w:spacing w:after="160" w:line="240" w:lineRule="exact"/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 xml:space="preserve">Теорема </w:t>
            </w:r>
            <w:proofErr w:type="spellStart"/>
            <w:r w:rsidRPr="00002EDD">
              <w:rPr>
                <w:rFonts w:ascii="Times New Roman" w:hAnsi="Times New Roman"/>
              </w:rPr>
              <w:t>Шарковского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lastRenderedPageBreak/>
              <w:t>Тема 4</w:t>
            </w:r>
          </w:p>
          <w:p w:rsidR="00002EDD" w:rsidRPr="00002EDD" w:rsidRDefault="00002EDD" w:rsidP="00002EDD">
            <w:pPr>
              <w:tabs>
                <w:tab w:val="left" w:pos="643"/>
              </w:tabs>
              <w:spacing w:after="160" w:line="240" w:lineRule="exact"/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>Параметрические семейства функций и бифуркации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  <w:p w:rsidR="00002EDD" w:rsidRPr="00002EDD" w:rsidRDefault="00002EDD" w:rsidP="00002EDD">
            <w:pPr>
              <w:tabs>
                <w:tab w:val="left" w:pos="643"/>
              </w:tabs>
              <w:spacing w:after="160" w:line="240" w:lineRule="exact"/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>Логистическая функция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  <w:p w:rsidR="00002EDD" w:rsidRPr="00002EDD" w:rsidRDefault="00002EDD" w:rsidP="00002EDD">
            <w:pPr>
              <w:tabs>
                <w:tab w:val="left" w:pos="643"/>
              </w:tabs>
              <w:spacing w:after="160" w:line="240" w:lineRule="exact"/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 xml:space="preserve">Метод Ньютона 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7</w:t>
            </w:r>
          </w:p>
          <w:p w:rsidR="00002EDD" w:rsidRPr="00002EDD" w:rsidRDefault="00002EDD" w:rsidP="00002EDD">
            <w:pPr>
              <w:tabs>
                <w:tab w:val="left" w:pos="643"/>
              </w:tabs>
              <w:spacing w:after="160" w:line="240" w:lineRule="exact"/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>Динамика комплексных функций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8</w:t>
            </w:r>
          </w:p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EDD">
              <w:rPr>
                <w:rFonts w:ascii="Times New Roman" w:hAnsi="Times New Roman"/>
              </w:rPr>
              <w:t>Квадратичное семейство и множество Мандельброта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Тема 9</w:t>
            </w:r>
          </w:p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</w:rPr>
              <w:t xml:space="preserve">Локальная геометрия множества Фату 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trHeight w:val="202"/>
          <w:jc w:val="center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02ED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02EDD"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ED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DD" w:rsidRPr="00002EDD" w:rsidTr="00CA5597">
        <w:trPr>
          <w:jc w:val="center"/>
        </w:trPr>
        <w:tc>
          <w:tcPr>
            <w:tcW w:w="985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2EDD" w:rsidRPr="00002EDD" w:rsidRDefault="00002EDD" w:rsidP="00002EDD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ED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</w:tr>
    </w:tbl>
    <w:p w:rsidR="001374B9" w:rsidRDefault="001374B9">
      <w:pPr>
        <w:ind w:left="-709"/>
        <w:jc w:val="both"/>
        <w:rPr>
          <w:rFonts w:ascii="Times New Roman" w:hAnsi="Times New Roman"/>
          <w:i/>
          <w:sz w:val="24"/>
          <w:szCs w:val="24"/>
        </w:rPr>
      </w:pPr>
    </w:p>
    <w:p w:rsidR="001374B9" w:rsidRPr="00560A71" w:rsidRDefault="0097657F">
      <w:pPr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60A71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1374B9" w:rsidRDefault="001374B9">
      <w:pPr>
        <w:spacing w:after="0" w:line="240" w:lineRule="auto"/>
        <w:ind w:left="-709"/>
        <w:rPr>
          <w:rFonts w:ascii="Times New Roman" w:hAnsi="Times New Roman"/>
          <w:sz w:val="28"/>
          <w:szCs w:val="24"/>
        </w:rPr>
      </w:pPr>
    </w:p>
    <w:p w:rsidR="001374B9" w:rsidRDefault="0097657F">
      <w:p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Форма занятий: лекции, практические занятия. При проведении лекций используются как традиционные формы, так и нетрадиционные (проблемные лекции, лекции-визуализации), часть практических занятий отводится под </w:t>
      </w:r>
      <w:proofErr w:type="spellStart"/>
      <w:r>
        <w:rPr>
          <w:rFonts w:ascii="Times New Roman" w:hAnsi="Times New Roman"/>
          <w:sz w:val="24"/>
          <w:szCs w:val="24"/>
        </w:rPr>
        <w:t>спецпрактикумы</w:t>
      </w:r>
      <w:proofErr w:type="spellEnd"/>
      <w:r>
        <w:rPr>
          <w:rFonts w:ascii="Times New Roman" w:hAnsi="Times New Roman"/>
          <w:sz w:val="24"/>
          <w:szCs w:val="24"/>
        </w:rPr>
        <w:t>. Особое место в изучении данной дисциплины занимает самостоятельная работа (тренировочная, реконструктивная, творческая). При самостоятельной работе и при подготовке к экзамену студенты могут воспользоваться указанной литературой.</w:t>
      </w:r>
    </w:p>
    <w:p w:rsidR="001374B9" w:rsidRDefault="001374B9">
      <w:pPr>
        <w:pStyle w:val="ac"/>
        <w:widowControl w:val="0"/>
        <w:spacing w:beforeAutospacing="0" w:after="0" w:afterAutospacing="0"/>
        <w:ind w:left="-142" w:right="-426" w:firstLine="400"/>
        <w:jc w:val="both"/>
        <w:rPr>
          <w:i/>
          <w:sz w:val="28"/>
        </w:rPr>
      </w:pPr>
    </w:p>
    <w:p w:rsidR="001374B9" w:rsidRPr="00560A71" w:rsidRDefault="0097657F">
      <w:pPr>
        <w:numPr>
          <w:ilvl w:val="0"/>
          <w:numId w:val="1"/>
        </w:numPr>
        <w:spacing w:after="0"/>
        <w:ind w:left="-142" w:right="-426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Pr="00560A7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60A7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374B9" w:rsidRPr="00560A71" w:rsidRDefault="001374B9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</w:p>
    <w:p w:rsidR="001374B9" w:rsidRDefault="0097657F">
      <w:pPr>
        <w:spacing w:after="120" w:line="240" w:lineRule="auto"/>
        <w:ind w:right="-45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заключается в ознакомлении с теоретическим материалом по учебникам, монографиям и учебным пособиям, указанным в списке литературы, решении практических задач, ответах на вопросы самоконтроля. </w:t>
      </w:r>
    </w:p>
    <w:p w:rsidR="001374B9" w:rsidRDefault="0097657F">
      <w:pPr>
        <w:spacing w:after="120" w:line="240" w:lineRule="auto"/>
        <w:ind w:right="-45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самостоятельной работы – собеседование, домашние задания. </w:t>
      </w:r>
    </w:p>
    <w:p w:rsidR="001374B9" w:rsidRPr="00832F61" w:rsidRDefault="0097657F">
      <w:pPr>
        <w:shd w:val="clear" w:color="auto" w:fill="FFFFFF"/>
        <w:spacing w:after="0"/>
        <w:ind w:right="-452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частности, важной составляющей изучения дисциплины является самостоятельная работа обучающихся при подготовке к практическим занятиям по дисциплине с целью их наиболее эффективного проведения. При этой подготовке обучающиеся дополнительно самостоятельно изучают те разделы теоретического материала, которые являются базовыми. Это дополнительное самостоятельное изучение, прежде всего, основано на углубленном самостоятельном изучении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соответствующих разделов книг, учебно-методических пособий приведенных в списках основной и дополнительной литературы. Кроме того, при указанном дополнительном самостоятельном изучении можно использовать и доступные ресурсы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сети Интернет, так как они </w:t>
      </w:r>
      <w:r>
        <w:rPr>
          <w:rFonts w:ascii="Times New Roman" w:hAnsi="Times New Roman"/>
          <w:sz w:val="24"/>
          <w:szCs w:val="24"/>
        </w:rPr>
        <w:t xml:space="preserve">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изучаемому материалу. Одними из возможных  ресурсов для этой цели являются те, которые указаны в списке  программного обеспечения и Интернет-ресурсов ниже в разделе </w:t>
      </w:r>
      <w:bookmarkStart w:id="1" w:name="OLE_LINK2"/>
      <w:bookmarkStart w:id="2" w:name="OLE_LINK1"/>
      <w:bookmarkEnd w:id="1"/>
      <w:bookmarkEnd w:id="2"/>
      <w:r w:rsidR="00832F61" w:rsidRPr="00832F61">
        <w:rPr>
          <w:rFonts w:ascii="Times New Roman" w:hAnsi="Times New Roman"/>
          <w:sz w:val="24"/>
          <w:szCs w:val="24"/>
        </w:rPr>
        <w:t>7</w:t>
      </w:r>
      <w:r w:rsidRPr="00832F61">
        <w:rPr>
          <w:rFonts w:ascii="Times New Roman" w:hAnsi="Times New Roman"/>
          <w:sz w:val="24"/>
          <w:szCs w:val="24"/>
        </w:rPr>
        <w:t>.  Учебно-методическое и информационное обеспечение дисциплины.</w:t>
      </w:r>
      <w:bookmarkStart w:id="3" w:name="_GoBack"/>
      <w:bookmarkEnd w:id="3"/>
    </w:p>
    <w:p w:rsidR="001374B9" w:rsidRDefault="001374B9">
      <w:pPr>
        <w:spacing w:after="0"/>
        <w:ind w:left="-142" w:right="-426" w:hanging="426"/>
        <w:jc w:val="both"/>
        <w:rPr>
          <w:rFonts w:ascii="Times New Roman" w:hAnsi="Times New Roman"/>
        </w:rPr>
      </w:pPr>
    </w:p>
    <w:p w:rsidR="001374B9" w:rsidRPr="00560A71" w:rsidRDefault="0097657F" w:rsidP="00560A71">
      <w:pPr>
        <w:numPr>
          <w:ilvl w:val="0"/>
          <w:numId w:val="1"/>
        </w:numPr>
        <w:spacing w:after="0" w:line="240" w:lineRule="auto"/>
        <w:ind w:left="0" w:right="-426" w:firstLine="0"/>
        <w:rPr>
          <w:rFonts w:ascii="Times New Roman" w:hAnsi="Times New Roman"/>
          <w:sz w:val="24"/>
          <w:szCs w:val="24"/>
        </w:rPr>
      </w:pPr>
      <w:r w:rsidRPr="00560A71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560A71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560A71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560A71">
        <w:rPr>
          <w:rFonts w:ascii="Times New Roman" w:hAnsi="Times New Roman"/>
          <w:sz w:val="24"/>
          <w:szCs w:val="24"/>
        </w:rPr>
        <w:t xml:space="preserve">), </w:t>
      </w:r>
    </w:p>
    <w:p w:rsidR="001374B9" w:rsidRPr="00560A71" w:rsidRDefault="0097657F" w:rsidP="00560A71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560A71">
        <w:rPr>
          <w:rFonts w:ascii="Times New Roman" w:hAnsi="Times New Roman"/>
          <w:sz w:val="24"/>
          <w:szCs w:val="24"/>
        </w:rPr>
        <w:t>включающий:</w:t>
      </w:r>
    </w:p>
    <w:p w:rsidR="001374B9" w:rsidRDefault="0097657F">
      <w:pPr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1374B9" w:rsidRDefault="0097657F">
      <w:pPr>
        <w:pStyle w:val="ad"/>
        <w:ind w:left="0" w:right="-426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ОПК-4:</w:t>
      </w:r>
      <w:r>
        <w:rPr>
          <w:rFonts w:ascii="Times New Roman" w:hAnsi="Times New Roman"/>
        </w:rPr>
        <w:t xml:space="preserve">способность находить, анализировать, реализовывать </w:t>
      </w:r>
      <w:proofErr w:type="spellStart"/>
      <w:r>
        <w:rPr>
          <w:rFonts w:ascii="Times New Roman" w:hAnsi="Times New Roman"/>
        </w:rPr>
        <w:t>программно</w:t>
      </w:r>
      <w:proofErr w:type="spellEnd"/>
      <w:r>
        <w:rPr>
          <w:rFonts w:ascii="Times New Roman" w:hAnsi="Times New Roman"/>
        </w:rPr>
        <w:t xml:space="preserve"> и использовать на практике математические алгоритмы, в том числе с применением современных вычислительных систем</w:t>
      </w:r>
    </w:p>
    <w:tbl>
      <w:tblPr>
        <w:tblW w:w="974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77"/>
        <w:gridCol w:w="1130"/>
        <w:gridCol w:w="1577"/>
        <w:gridCol w:w="1447"/>
        <w:gridCol w:w="1140"/>
        <w:gridCol w:w="1229"/>
        <w:gridCol w:w="1130"/>
        <w:gridCol w:w="1201"/>
      </w:tblGrid>
      <w:tr w:rsidR="001374B9" w:rsidRPr="00560A71"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1374B9" w:rsidRPr="00560A71" w:rsidRDefault="0097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0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1374B9" w:rsidRPr="00560A71"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1374B9" w:rsidRPr="00560A71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0A71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особенности применения современных вычислительных систем на практике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заметных погрешностей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374B9" w:rsidRPr="00560A71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0A71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находить, анализировать и использовать на практике математические алгоритмы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Полное отсутствие умения находить, анализировать и использовать на практике математические алгоритмы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Отсутствие умения находить, анализировать и использовать на практике математические алгоритмы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Умение находить, анализировать и использовать на практике математические алгоритмы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Умение находить, анализировать и использовать на практике математические алгоритмы при  наличии незначительных ошибок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Умение находить наиболее подходящие математические алгоритмы и правильно использовать их на практике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Умение математически грамотно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ализировать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найденные математические алгоритмы и 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Умение находить, анализировать и использовать на практике математические алгоритмы на высоком математическом уровне</w:t>
            </w:r>
          </w:p>
        </w:tc>
      </w:tr>
      <w:tr w:rsidR="001374B9" w:rsidRPr="00560A71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0A71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1374B9" w:rsidRPr="00560A71" w:rsidRDefault="0097657F">
            <w:pPr>
              <w:pStyle w:val="ad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560A71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</w:p>
          <w:p w:rsidR="001374B9" w:rsidRPr="00560A71" w:rsidRDefault="0097657F">
            <w:pPr>
              <w:pStyle w:val="ad"/>
              <w:ind w:left="-142" w:right="-426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математические алгоритмы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владения  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математические алгоритмы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навыков владения  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математические алгоритмы  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Наличие минимальных навыков владения  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математические алгоритмы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A71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  <w:proofErr w:type="gramEnd"/>
          </w:p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владение 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математич</w:t>
            </w: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еские алгоритмы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Достаточное владение  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математические </w:t>
            </w: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алгоритмы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Хорошее владение 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математические </w:t>
            </w: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алгоритмы  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Всестороннее владение методами реализовывать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программно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математич</w:t>
            </w: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еские алгоритмы  </w:t>
            </w:r>
          </w:p>
        </w:tc>
      </w:tr>
      <w:tr w:rsidR="001374B9" w:rsidRPr="00560A71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374B9" w:rsidRDefault="001374B9">
      <w:pPr>
        <w:pStyle w:val="ad"/>
        <w:ind w:left="-142" w:right="-426"/>
        <w:rPr>
          <w:rFonts w:ascii="Times New Roman" w:hAnsi="Times New Roman"/>
          <w:i/>
          <w:sz w:val="24"/>
          <w:szCs w:val="24"/>
        </w:rPr>
      </w:pPr>
    </w:p>
    <w:p w:rsidR="001374B9" w:rsidRDefault="0097657F">
      <w:pPr>
        <w:pStyle w:val="ad"/>
        <w:ind w:left="-142" w:right="-426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ПК-3:</w:t>
      </w:r>
      <w:r>
        <w:rPr>
          <w:rFonts w:ascii="Times New Roman" w:hAnsi="Times New Roman"/>
        </w:rPr>
        <w:t>способность строго доказать утверждение, сформулировать результат, увидеть следствия полученного результата</w:t>
      </w:r>
    </w:p>
    <w:p w:rsidR="00C00171" w:rsidRDefault="00C00171">
      <w:pPr>
        <w:pStyle w:val="ad"/>
        <w:ind w:left="-142" w:right="-426"/>
        <w:rPr>
          <w:rFonts w:ascii="Times New Roman" w:hAnsi="Times New Roman"/>
          <w:i/>
          <w:sz w:val="24"/>
          <w:szCs w:val="24"/>
        </w:rPr>
      </w:pPr>
    </w:p>
    <w:tbl>
      <w:tblPr>
        <w:tblW w:w="9683" w:type="dxa"/>
        <w:tblInd w:w="-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17"/>
        <w:gridCol w:w="1113"/>
        <w:gridCol w:w="1512"/>
        <w:gridCol w:w="1388"/>
        <w:gridCol w:w="1113"/>
        <w:gridCol w:w="1181"/>
        <w:gridCol w:w="1289"/>
        <w:gridCol w:w="1154"/>
      </w:tblGrid>
      <w:tr w:rsidR="001374B9" w:rsidRPr="00560A71">
        <w:tc>
          <w:tcPr>
            <w:tcW w:w="1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1374B9" w:rsidRPr="00560A71" w:rsidRDefault="0097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3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1374B9" w:rsidRPr="00560A71">
        <w:tc>
          <w:tcPr>
            <w:tcW w:w="1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1374B9" w:rsidRPr="00560A71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0A71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A71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60A71">
              <w:rPr>
                <w:rFonts w:ascii="Times New Roman" w:hAnsi="Times New Roman"/>
                <w:sz w:val="20"/>
                <w:szCs w:val="20"/>
              </w:rPr>
              <w:t>основные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принципы строгого доказательства утверждения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374B9" w:rsidRPr="00560A71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0A71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374B9" w:rsidRPr="00560A71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0A71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560A71">
              <w:rPr>
                <w:rFonts w:ascii="Times New Roman" w:hAnsi="Times New Roman"/>
                <w:sz w:val="20"/>
                <w:szCs w:val="20"/>
              </w:rPr>
              <w:t xml:space="preserve"> строго доказать утверждение, сформулировать результат, увидеть следствия полученного результата</w:t>
            </w:r>
          </w:p>
          <w:p w:rsidR="001374B9" w:rsidRPr="00560A71" w:rsidRDefault="001374B9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Полное отсутствие умения строго доказать утверждение, сформулировать результат, увидеть следствия полученного результата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Отсутствие умения строго доказать утверждение, сформулировать результат, увидеть следствия полученного результата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Умение строго доказать утверждение, сформулировать результат, увидеть следствия полученного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результатапри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60A71">
              <w:rPr>
                <w:rFonts w:ascii="Times New Roman" w:hAnsi="Times New Roman"/>
                <w:sz w:val="20"/>
                <w:szCs w:val="20"/>
              </w:rPr>
              <w:t>наличии</w:t>
            </w:r>
            <w:proofErr w:type="gram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существенных ошибок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Умение строго доказать утверждение, сформулировать результат, увидеть следствия полученного 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результатапри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60A71">
              <w:rPr>
                <w:rFonts w:ascii="Times New Roman" w:hAnsi="Times New Roman"/>
                <w:sz w:val="20"/>
                <w:szCs w:val="20"/>
              </w:rPr>
              <w:t>наличии</w:t>
            </w:r>
            <w:proofErr w:type="gram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незначительных ошибок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Умение строго доказать утверждение, сформулировать результат, увидеть следствия полученного результата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Умение строго доказать утверждение, сформулировать результат, увидеть следствия полученного результата, продемонстрировав хорошую математическую подготовку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Умение на высоком математическом уровне строго доказать утверждение, сформулировать результат, увидеть следствия полученного результата</w:t>
            </w:r>
          </w:p>
        </w:tc>
      </w:tr>
      <w:tr w:rsidR="001374B9" w:rsidRPr="00560A71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0A71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A71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навыками</w:t>
            </w:r>
            <w:proofErr w:type="spellEnd"/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формулирования результатов и следствий из них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pStyle w:val="ad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формулирования результатов и следствий из них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Отсутствие навыков 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формулирования результатов и следствий из них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Наличие минимальных навыков 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формулирования результатов и следствий из них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0A71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  <w:proofErr w:type="gramEnd"/>
          </w:p>
          <w:p w:rsidR="001374B9" w:rsidRPr="00560A71" w:rsidRDefault="0097657F">
            <w:pPr>
              <w:pStyle w:val="ad"/>
              <w:spacing w:line="240" w:lineRule="auto"/>
              <w:ind w:left="-142" w:right="-426"/>
              <w:rPr>
                <w:rFonts w:ascii="Times New Roman" w:hAnsi="Times New Roman"/>
                <w:i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владение 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навыками формулирования результатов и следствий из них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формулирования результатов и следствий из них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Хорошее владение навыками 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формулирования результатов и следствий из них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pStyle w:val="ad"/>
              <w:spacing w:line="240" w:lineRule="auto"/>
              <w:ind w:left="-142" w:right="-426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Всестороннее владение навыками </w:t>
            </w:r>
            <w:r w:rsidRPr="00560A71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формулирования результатов и следствий из них</w:t>
            </w: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74B9" w:rsidRPr="00560A71" w:rsidRDefault="00137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4B9" w:rsidRPr="00560A71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1374B9" w:rsidRDefault="001374B9">
      <w:pPr>
        <w:pStyle w:val="ad"/>
        <w:ind w:left="-142" w:right="-426"/>
        <w:rPr>
          <w:rFonts w:ascii="Times New Roman" w:hAnsi="Times New Roman"/>
          <w:i/>
          <w:sz w:val="24"/>
          <w:szCs w:val="24"/>
        </w:rPr>
      </w:pPr>
    </w:p>
    <w:p w:rsidR="001374B9" w:rsidRDefault="001374B9">
      <w:pPr>
        <w:pStyle w:val="ad"/>
        <w:ind w:left="-142" w:right="-426"/>
        <w:rPr>
          <w:rFonts w:ascii="Times New Roman" w:hAnsi="Times New Roman"/>
          <w:i/>
          <w:sz w:val="24"/>
          <w:szCs w:val="24"/>
        </w:rPr>
      </w:pPr>
    </w:p>
    <w:p w:rsidR="001374B9" w:rsidRDefault="0097657F">
      <w:pPr>
        <w:pStyle w:val="ad"/>
        <w:numPr>
          <w:ilvl w:val="1"/>
          <w:numId w:val="1"/>
        </w:numPr>
        <w:ind w:left="-142" w:righ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Описание шкал оценивания </w:t>
      </w:r>
    </w:p>
    <w:p w:rsidR="001374B9" w:rsidRDefault="0097657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1374B9" w:rsidRDefault="0097657F">
      <w:pPr>
        <w:pStyle w:val="ad"/>
        <w:numPr>
          <w:ilvl w:val="0"/>
          <w:numId w:val="2"/>
        </w:numPr>
        <w:tabs>
          <w:tab w:val="left" w:pos="900"/>
        </w:tabs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1374B9" w:rsidRDefault="0097657F">
      <w:pPr>
        <w:pStyle w:val="ad"/>
        <w:numPr>
          <w:ilvl w:val="0"/>
          <w:numId w:val="2"/>
        </w:numPr>
        <w:tabs>
          <w:tab w:val="left" w:pos="900"/>
        </w:tabs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1374B9" w:rsidRDefault="0097657F">
      <w:pPr>
        <w:pStyle w:val="ad"/>
        <w:numPr>
          <w:ilvl w:val="0"/>
          <w:numId w:val="2"/>
        </w:numPr>
        <w:tabs>
          <w:tab w:val="left" w:pos="900"/>
        </w:tabs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1374B9" w:rsidRDefault="0097657F" w:rsidP="00560A7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включает устную и письменную часть. Устная часть экзамена 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1374B9" w:rsidRDefault="001374B9">
      <w:pPr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98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1374B9" w:rsidRPr="00560A71">
        <w:trPr>
          <w:trHeight w:val="33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A71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A71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1374B9" w:rsidRPr="00560A71">
        <w:trPr>
          <w:trHeight w:val="33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материалом. Студент дал полный и развернутый ответ на все теоретические вопросы билета, полностью справился с решением предложенных в билете задач. Студент активно работал на практических занятиях.</w:t>
            </w:r>
          </w:p>
          <w:p w:rsidR="001374B9" w:rsidRPr="00560A71" w:rsidRDefault="0097657F">
            <w:pPr>
              <w:tabs>
                <w:tab w:val="center" w:pos="318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100 %-</w:t>
            </w:r>
            <w:proofErr w:type="spellStart"/>
            <w:r w:rsidRPr="00560A71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60A71">
              <w:rPr>
                <w:rFonts w:ascii="Times New Roman" w:hAnsi="Times New Roman"/>
                <w:sz w:val="20"/>
                <w:szCs w:val="20"/>
              </w:rPr>
              <w:t xml:space="preserve"> выполнение контрольных экзаменационных заданий</w:t>
            </w:r>
            <w:r w:rsidRPr="00560A7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374B9" w:rsidRPr="00560A71">
        <w:trPr>
          <w:trHeight w:val="655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полностью справился с решением предложенных в билете задач.  Студент активно работал на практических занятиях.</w:t>
            </w:r>
          </w:p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1374B9" w:rsidRPr="00560A71">
        <w:trPr>
          <w:trHeight w:val="655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дал ответ на все теоретические вопросы билета, но имеются неточности в определениях и формулировках теорем, утверждений и т.п. </w:t>
            </w:r>
          </w:p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1374B9" w:rsidRPr="00560A71">
        <w:trPr>
          <w:trHeight w:val="57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В целом хорошая подготовка с заметными ошибками или недочетами. Студент дал полный ответ на все теоретические вопросы билета, но имеются </w:t>
            </w: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>неточности в определениях и формулировках теорем, утверждений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1374B9" w:rsidRPr="00560A71">
        <w:trPr>
          <w:trHeight w:val="284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 при решении задач, но при ответах на наводящие вопросы, может правильно сориентироваться и в общих чертах дать правильный ответ или предложить другой путь решения задачи. Студент посещал практические занятия.</w:t>
            </w:r>
          </w:p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1374B9" w:rsidRPr="00560A71">
        <w:trPr>
          <w:trHeight w:val="57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1374B9" w:rsidRPr="00560A71">
        <w:trPr>
          <w:trHeight w:val="298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1374B9" w:rsidRPr="00560A71" w:rsidRDefault="009765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A71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1374B9" w:rsidRDefault="001374B9">
      <w:pPr>
        <w:pStyle w:val="ad"/>
        <w:rPr>
          <w:rFonts w:ascii="Times New Roman" w:hAnsi="Times New Roman"/>
          <w:sz w:val="24"/>
          <w:szCs w:val="24"/>
        </w:rPr>
      </w:pPr>
    </w:p>
    <w:p w:rsidR="001374B9" w:rsidRDefault="001374B9">
      <w:pPr>
        <w:pStyle w:val="ad"/>
        <w:ind w:left="-142" w:right="-426"/>
        <w:rPr>
          <w:rFonts w:ascii="Times New Roman" w:hAnsi="Times New Roman"/>
          <w:sz w:val="24"/>
          <w:szCs w:val="24"/>
        </w:rPr>
      </w:pPr>
    </w:p>
    <w:p w:rsidR="001374B9" w:rsidRDefault="0097657F" w:rsidP="00560A71">
      <w:pPr>
        <w:pStyle w:val="ad"/>
        <w:numPr>
          <w:ilvl w:val="1"/>
          <w:numId w:val="1"/>
        </w:numPr>
        <w:ind w:left="0" w:right="-42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Критерии и процедуры оценивания результатов </w:t>
      </w:r>
      <w:proofErr w:type="gramStart"/>
      <w:r>
        <w:rPr>
          <w:rFonts w:ascii="Times New Roman" w:hAnsi="Times New Roman"/>
          <w:sz w:val="28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8"/>
          <w:szCs w:val="24"/>
        </w:rPr>
        <w:t xml:space="preserve"> (модулю), характеризующих этапы формирования компетенций </w:t>
      </w:r>
    </w:p>
    <w:p w:rsidR="001374B9" w:rsidRDefault="0097657F" w:rsidP="00560A71">
      <w:pPr>
        <w:pStyle w:val="ad"/>
        <w:shd w:val="clear" w:color="auto" w:fill="FFFFFF"/>
        <w:tabs>
          <w:tab w:val="left" w:pos="1134"/>
        </w:tabs>
        <w:spacing w:line="240" w:lineRule="auto"/>
        <w:ind w:left="0"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устные и письменные ответы на вопросы. 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практические контрольные задания, включающих одну или несколько задач (вопросов) 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проведения итогового контроля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используются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устный опрос, решение практических задач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индивидуальное собеседование,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письменные ответы на вопросы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1374B9" w:rsidRDefault="0097657F" w:rsidP="00560A71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практические контрольные задания (далее – ПКЗ), включающие одну или несколько задач (вопросов) в виде краткой формулировки действий (комплекса действий), которые следует выполнить.</w:t>
      </w:r>
    </w:p>
    <w:p w:rsidR="001374B9" w:rsidRDefault="001374B9" w:rsidP="00560A71">
      <w:pPr>
        <w:pStyle w:val="ad"/>
        <w:ind w:left="0" w:right="-284"/>
        <w:rPr>
          <w:rFonts w:ascii="Times New Roman" w:hAnsi="Times New Roman"/>
          <w:i/>
          <w:sz w:val="24"/>
          <w:szCs w:val="24"/>
        </w:rPr>
      </w:pPr>
    </w:p>
    <w:p w:rsidR="001374B9" w:rsidRDefault="0097657F">
      <w:pPr>
        <w:pStyle w:val="ad"/>
        <w:numPr>
          <w:ilvl w:val="1"/>
          <w:numId w:val="1"/>
        </w:numPr>
        <w:ind w:left="0" w:right="-283" w:firstLine="0"/>
      </w:pPr>
      <w:r>
        <w:rPr>
          <w:rFonts w:ascii="Times New Roman" w:hAnsi="Times New Roman"/>
          <w:sz w:val="28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компетенции. 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Варианты контрольных вопросов </w:t>
      </w:r>
      <w:r>
        <w:rPr>
          <w:rFonts w:ascii="Times New Roman" w:hAnsi="Times New Roman"/>
          <w:sz w:val="24"/>
          <w:szCs w:val="24"/>
        </w:rPr>
        <w:t>для проведения промежуточной аттестации и экзамена (принимаются неформализованные ответы, правильность которых оценивается преподавателем). Вопросы для контроля составляются в соответствии с содержанием курса.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Компетенции ОПК-4, ПК-3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Понятие отображения Римана. 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Теорема </w:t>
      </w:r>
      <w:proofErr w:type="spellStart"/>
      <w:r>
        <w:rPr>
          <w:rFonts w:ascii="Times New Roman" w:hAnsi="Times New Roman"/>
          <w:sz w:val="24"/>
          <w:szCs w:val="24"/>
        </w:rPr>
        <w:t>Монтеля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Понятие гиперболической метрики.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Квазиконформные отображения.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Сингулярный интегральный оператор.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Уравнение Бельтрами.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Классификация неподвижных точек.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Притягивающие неподвижные точки.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4B9" w:rsidRDefault="00976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Варианты вопросов для собеседования: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4B9" w:rsidRDefault="00976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Компетенции ОПК-4, ПК-3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Односвязные Римановы поверхности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Универсальные накрытия и метрика Пуанкаре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Нормальные семейства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Динамика на римановой сфере</w:t>
      </w:r>
    </w:p>
    <w:p w:rsidR="001374B9" w:rsidRDefault="00976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Динамика на гиперболических поверхностях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4B9" w:rsidRDefault="009765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Варианты экзаменационных билетов:</w:t>
      </w:r>
    </w:p>
    <w:p w:rsidR="001374B9" w:rsidRDefault="00137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4B9" w:rsidRDefault="00137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4B9" w:rsidRDefault="00976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1374B9" w:rsidRDefault="00976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Н.И. Лобачевского</w:t>
      </w:r>
    </w:p>
    <w:p w:rsidR="001374B9" w:rsidRDefault="00976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Институт/факультет  </w:t>
      </w:r>
      <w:r>
        <w:rPr>
          <w:rFonts w:ascii="Times New Roman" w:hAnsi="Times New Roman"/>
          <w:sz w:val="24"/>
          <w:szCs w:val="24"/>
          <w:u w:val="single"/>
        </w:rPr>
        <w:t>ИИТММ</w:t>
      </w:r>
    </w:p>
    <w:p w:rsidR="001374B9" w:rsidRDefault="00976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МФиОУ</w:t>
      </w:r>
      <w:proofErr w:type="spellEnd"/>
    </w:p>
    <w:p w:rsidR="001374B9" w:rsidRDefault="00976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  <w:u w:val="single"/>
        </w:rPr>
        <w:t>Компьютерные методы классификации и реализации диффеоморфизмов поверхностей</w:t>
      </w:r>
    </w:p>
    <w:p w:rsidR="001374B9" w:rsidRDefault="001374B9">
      <w:pPr>
        <w:rPr>
          <w:rFonts w:ascii="Times New Roman" w:hAnsi="Times New Roman"/>
          <w:sz w:val="24"/>
          <w:szCs w:val="24"/>
        </w:rPr>
      </w:pP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ЭКЗАМЕНАЦИОННЫЙ БИЛЕТ № 1</w:t>
      </w:r>
    </w:p>
    <w:p w:rsidR="001374B9" w:rsidRDefault="001374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97657F">
      <w:pPr>
        <w:tabs>
          <w:tab w:val="left" w:pos="134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1374B9" w:rsidRDefault="0097657F">
      <w:pPr>
        <w:numPr>
          <w:ilvl w:val="0"/>
          <w:numId w:val="7"/>
        </w:numPr>
        <w:tabs>
          <w:tab w:val="left" w:pos="134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Понятие отображения Римана.</w:t>
      </w:r>
    </w:p>
    <w:p w:rsidR="001374B9" w:rsidRDefault="0097657F">
      <w:pPr>
        <w:numPr>
          <w:ilvl w:val="0"/>
          <w:numId w:val="7"/>
        </w:numPr>
        <w:tabs>
          <w:tab w:val="left" w:pos="134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Дано отображение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Times New Roman" w:hAnsi="Times New Roman"/>
          <w:sz w:val="24"/>
          <w:szCs w:val="24"/>
          <w:lang w:eastAsia="en-US"/>
        </w:rPr>
        <w:t>. Построить множество Жюлиа.</w:t>
      </w:r>
    </w:p>
    <w:p w:rsidR="001374B9" w:rsidRDefault="001374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1374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1374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9765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Зав. кафедрой ___________________</w:t>
      </w:r>
    </w:p>
    <w:p w:rsidR="001374B9" w:rsidRDefault="001374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9765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Экзаменатор____________________</w:t>
      </w:r>
    </w:p>
    <w:p w:rsidR="001374B9" w:rsidRDefault="001374B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1374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9765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ЭКЗАМЕНАЦИОННЫЙ БИЛЕТ № 2</w:t>
      </w:r>
    </w:p>
    <w:p w:rsidR="001374B9" w:rsidRDefault="001374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137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74B9" w:rsidRDefault="0097657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 </w:t>
      </w:r>
      <w:proofErr w:type="spellStart"/>
      <w:r>
        <w:rPr>
          <w:rFonts w:ascii="Times New Roman" w:hAnsi="Times New Roman"/>
          <w:sz w:val="24"/>
          <w:szCs w:val="24"/>
        </w:rPr>
        <w:t>Монтеля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74B9" w:rsidRDefault="0097657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Дано отображение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>
        <w:rPr>
          <w:rFonts w:ascii="Times New Roman" w:hAnsi="Times New Roman"/>
          <w:sz w:val="24"/>
          <w:szCs w:val="24"/>
        </w:rPr>
        <w:t>. Построить множество Жюлиа.</w:t>
      </w:r>
    </w:p>
    <w:p w:rsidR="001374B9" w:rsidRDefault="001374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1374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1374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9765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Зав. кафедрой ___________________</w:t>
      </w:r>
    </w:p>
    <w:p w:rsidR="001374B9" w:rsidRDefault="001374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9765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Экзаменатор____________________</w:t>
      </w:r>
    </w:p>
    <w:p w:rsidR="001374B9" w:rsidRDefault="001374B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374B9" w:rsidRDefault="0097657F">
      <w:pPr>
        <w:pStyle w:val="ad"/>
        <w:ind w:left="0" w:right="-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Методические материалы, определяющие процедуры оценивания. </w:t>
      </w:r>
    </w:p>
    <w:p w:rsidR="001374B9" w:rsidRDefault="0097657F" w:rsidP="00560A71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</w:t>
      </w:r>
      <w:proofErr w:type="gramEnd"/>
    </w:p>
    <w:p w:rsidR="001374B9" w:rsidRDefault="0097657F" w:rsidP="00560A71">
      <w:pPr>
        <w:tabs>
          <w:tab w:val="left" w:pos="993"/>
        </w:tabs>
        <w:spacing w:after="0" w:line="240" w:lineRule="auto"/>
        <w:ind w:left="70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r w:rsidR="00560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1374B9" w:rsidRDefault="001374B9">
      <w:pPr>
        <w:ind w:right="-284"/>
        <w:rPr>
          <w:rFonts w:ascii="Times New Roman" w:hAnsi="Times New Roman"/>
          <w:b/>
          <w:sz w:val="28"/>
          <w:szCs w:val="24"/>
        </w:rPr>
      </w:pPr>
    </w:p>
    <w:p w:rsidR="001374B9" w:rsidRPr="00560A71" w:rsidRDefault="0097657F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7. </w:t>
      </w:r>
      <w:r w:rsidRPr="00560A7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1374B9" w:rsidRPr="00560A71" w:rsidRDefault="0097657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60A71">
        <w:rPr>
          <w:rFonts w:ascii="Times New Roman" w:hAnsi="Times New Roman"/>
          <w:sz w:val="24"/>
          <w:szCs w:val="24"/>
        </w:rPr>
        <w:t>а) основная литература:</w:t>
      </w:r>
    </w:p>
    <w:p w:rsidR="001374B9" w:rsidRDefault="001374B9">
      <w:pPr>
        <w:tabs>
          <w:tab w:val="left" w:pos="9356"/>
        </w:tabs>
        <w:spacing w:after="0" w:line="240" w:lineRule="auto"/>
        <w:ind w:right="-5"/>
        <w:jc w:val="both"/>
        <w:rPr>
          <w:rFonts w:ascii="Times New Roman" w:hAnsi="Times New Roman" w:cs="Courier New"/>
          <w:sz w:val="24"/>
          <w:szCs w:val="24"/>
        </w:rPr>
      </w:pPr>
    </w:p>
    <w:p w:rsidR="001374B9" w:rsidRDefault="0097657F">
      <w:pPr>
        <w:pStyle w:val="ad"/>
        <w:numPr>
          <w:ilvl w:val="0"/>
          <w:numId w:val="6"/>
        </w:numPr>
        <w:tabs>
          <w:tab w:val="left" w:pos="9356"/>
        </w:tabs>
        <w:spacing w:line="240" w:lineRule="auto"/>
        <w:ind w:right="-5"/>
        <w:rPr>
          <w:rFonts w:ascii="Times New Roman" w:hAnsi="Times New Roman" w:cs="Courier New"/>
          <w:sz w:val="24"/>
          <w:szCs w:val="24"/>
        </w:rPr>
      </w:pPr>
      <w:proofErr w:type="spellStart"/>
      <w:r>
        <w:rPr>
          <w:rFonts w:ascii="Times New Roman" w:hAnsi="Times New Roman" w:cs="Courier New"/>
          <w:sz w:val="24"/>
          <w:szCs w:val="24"/>
        </w:rPr>
        <w:t>Коснёвски</w:t>
      </w:r>
      <w:proofErr w:type="spellEnd"/>
      <w:r>
        <w:rPr>
          <w:rFonts w:ascii="Times New Roman" w:hAnsi="Times New Roman" w:cs="Courier New"/>
          <w:sz w:val="24"/>
          <w:szCs w:val="24"/>
        </w:rPr>
        <w:t xml:space="preserve"> Ч. - Начальный курс алгебраической топологии. - М.: Мир, 1983. - 302 с. (20 экз.) </w:t>
      </w:r>
    </w:p>
    <w:p w:rsidR="001374B9" w:rsidRDefault="0097657F">
      <w:pPr>
        <w:pStyle w:val="ad"/>
        <w:numPr>
          <w:ilvl w:val="0"/>
          <w:numId w:val="6"/>
        </w:numPr>
        <w:tabs>
          <w:tab w:val="left" w:pos="9356"/>
        </w:tabs>
        <w:spacing w:line="240" w:lineRule="auto"/>
        <w:ind w:right="-5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Шабат Б.В. – Введение в комплексный анализ: Ч.1. – М.: Наука, 1976. – 320 с. (21 экз.)</w:t>
      </w:r>
    </w:p>
    <w:p w:rsidR="001374B9" w:rsidRPr="00560A71" w:rsidRDefault="0097657F" w:rsidP="00560A71">
      <w:pPr>
        <w:pStyle w:val="ad"/>
        <w:numPr>
          <w:ilvl w:val="0"/>
          <w:numId w:val="6"/>
        </w:numPr>
        <w:tabs>
          <w:tab w:val="left" w:pos="9356"/>
        </w:tabs>
        <w:spacing w:line="240" w:lineRule="auto"/>
        <w:ind w:right="-5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Лаврентьев М.А., Шабат Б.В. – Методы теории функций </w:t>
      </w:r>
      <w:proofErr w:type="gramStart"/>
      <w:r>
        <w:rPr>
          <w:rFonts w:ascii="Times New Roman" w:hAnsi="Times New Roman" w:cs="Courier New"/>
          <w:sz w:val="24"/>
          <w:szCs w:val="24"/>
        </w:rPr>
        <w:t>комплексного</w:t>
      </w:r>
      <w:proofErr w:type="gramEnd"/>
      <w:r>
        <w:rPr>
          <w:rFonts w:ascii="Times New Roman" w:hAnsi="Times New Roman" w:cs="Courier New"/>
          <w:sz w:val="24"/>
          <w:szCs w:val="24"/>
        </w:rPr>
        <w:t xml:space="preserve"> переменного. – М.: Наука, 1973. – 736 с. (37 экз.)</w:t>
      </w:r>
    </w:p>
    <w:p w:rsidR="001374B9" w:rsidRDefault="001374B9">
      <w:pPr>
        <w:spacing w:after="0"/>
        <w:ind w:right="-284"/>
        <w:rPr>
          <w:rFonts w:ascii="Times New Roman" w:hAnsi="Times New Roman"/>
          <w:sz w:val="28"/>
          <w:szCs w:val="24"/>
        </w:rPr>
      </w:pPr>
    </w:p>
    <w:p w:rsidR="001374B9" w:rsidRDefault="0097657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60A71">
        <w:rPr>
          <w:rFonts w:ascii="Times New Roman" w:hAnsi="Times New Roman"/>
          <w:sz w:val="24"/>
          <w:szCs w:val="24"/>
        </w:rPr>
        <w:t>б</w:t>
      </w:r>
      <w:r w:rsidRPr="00560A7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560A71">
        <w:rPr>
          <w:rFonts w:ascii="Times New Roman" w:hAnsi="Times New Roman"/>
          <w:sz w:val="24"/>
          <w:szCs w:val="24"/>
        </w:rPr>
        <w:t>дополнительная</w:t>
      </w:r>
      <w:r w:rsidR="00CE6AC9" w:rsidRPr="00560A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60A71">
        <w:rPr>
          <w:rFonts w:ascii="Times New Roman" w:hAnsi="Times New Roman"/>
          <w:sz w:val="24"/>
          <w:szCs w:val="24"/>
        </w:rPr>
        <w:t>литература</w:t>
      </w:r>
      <w:r w:rsidRPr="00560A71">
        <w:rPr>
          <w:rFonts w:ascii="Times New Roman" w:hAnsi="Times New Roman"/>
          <w:sz w:val="24"/>
          <w:szCs w:val="24"/>
          <w:lang w:val="en-US"/>
        </w:rPr>
        <w:t>:</w:t>
      </w:r>
    </w:p>
    <w:p w:rsidR="00560A71" w:rsidRPr="00560A71" w:rsidRDefault="00560A71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1374B9" w:rsidRDefault="0097657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Леонтович-Андронова Е.А. – Методы и приемы качественного исследования динамических систем на плоскости. – </w:t>
      </w:r>
      <w:proofErr w:type="spellStart"/>
      <w:r>
        <w:rPr>
          <w:rFonts w:ascii="Times New Roman" w:hAnsi="Times New Roman"/>
          <w:sz w:val="24"/>
          <w:szCs w:val="24"/>
        </w:rPr>
        <w:t>М.:Наука</w:t>
      </w:r>
      <w:proofErr w:type="spellEnd"/>
      <w:r>
        <w:rPr>
          <w:rFonts w:ascii="Times New Roman" w:hAnsi="Times New Roman"/>
          <w:sz w:val="24"/>
          <w:szCs w:val="24"/>
        </w:rPr>
        <w:t xml:space="preserve">, 1990. – 486 с. (10 экз.)  </w:t>
      </w:r>
    </w:p>
    <w:p w:rsidR="001374B9" w:rsidRDefault="001374B9">
      <w:pPr>
        <w:spacing w:after="0"/>
        <w:ind w:right="-284" w:hanging="142"/>
        <w:rPr>
          <w:rFonts w:ascii="Times New Roman CYR" w:hAnsi="Times New Roman CYR"/>
          <w:sz w:val="24"/>
          <w:szCs w:val="24"/>
        </w:rPr>
      </w:pPr>
    </w:p>
    <w:p w:rsidR="00560A71" w:rsidRDefault="0097657F">
      <w:pPr>
        <w:spacing w:after="0"/>
        <w:ind w:right="-284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</w:rPr>
        <w:t xml:space="preserve">8. </w:t>
      </w:r>
      <w:r w:rsidRPr="00560A71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 (модуля)</w:t>
      </w:r>
      <w:r w:rsidR="006949DF" w:rsidRPr="006949D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</w:p>
    <w:p w:rsidR="001374B9" w:rsidRPr="006949DF" w:rsidRDefault="006949DF" w:rsidP="00560A71">
      <w:pPr>
        <w:spacing w:after="0"/>
        <w:ind w:right="-284" w:firstLine="567"/>
        <w:rPr>
          <w:rFonts w:ascii="Times New Roman" w:hAnsi="Times New Roman"/>
          <w:sz w:val="24"/>
          <w:szCs w:val="24"/>
        </w:rPr>
      </w:pPr>
      <w:r w:rsidRPr="00694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Имеются в наличии учебные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4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аудитории для проведения занятий лекционного типа, занятий</w:t>
      </w:r>
      <w:r w:rsidR="00560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4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семинарского типа, групповых и индивидуальных консультаций, текущего</w:t>
      </w:r>
      <w:r w:rsidR="00560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4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контроля, промежуточной аттестации, а также помещения для</w:t>
      </w:r>
      <w:r w:rsidR="00560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4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самостоятельной работы, оснащенные компьютерной техникой с</w:t>
      </w:r>
      <w:r w:rsidR="00560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4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возможностью подключения к сети «Интернет».</w:t>
      </w:r>
    </w:p>
    <w:p w:rsidR="00560A71" w:rsidRDefault="0056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374B9" w:rsidRDefault="001374B9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560A71" w:rsidRPr="006949DF" w:rsidRDefault="00560A7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1374B9" w:rsidRDefault="0097657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(профилю) 01.03.01 Математика.</w:t>
      </w:r>
      <w:proofErr w:type="gramEnd"/>
    </w:p>
    <w:p w:rsidR="001374B9" w:rsidRDefault="00976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Митрякова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Т.М. </w:t>
      </w:r>
    </w:p>
    <w:p w:rsidR="001374B9" w:rsidRDefault="001374B9">
      <w:pPr>
        <w:rPr>
          <w:rFonts w:ascii="Times New Roman" w:hAnsi="Times New Roman"/>
          <w:sz w:val="24"/>
          <w:szCs w:val="24"/>
        </w:rPr>
      </w:pPr>
    </w:p>
    <w:p w:rsidR="00560A71" w:rsidRDefault="00560A71">
      <w:pPr>
        <w:rPr>
          <w:rFonts w:ascii="Times New Roman" w:hAnsi="Times New Roman"/>
          <w:sz w:val="24"/>
          <w:szCs w:val="24"/>
        </w:rPr>
      </w:pPr>
    </w:p>
    <w:p w:rsidR="001374B9" w:rsidRDefault="00976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Института  информационных технологий, математики и механики ННГУ им. Н.И. Лобачевского </w:t>
      </w:r>
    </w:p>
    <w:p w:rsidR="001374B9" w:rsidRDefault="00976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1374B9" w:rsidRDefault="001374B9"/>
    <w:sectPr w:rsidR="001374B9" w:rsidSect="005C01E0">
      <w:footerReference w:type="default" r:id="rId9"/>
      <w:pgSz w:w="11906" w:h="16838"/>
      <w:pgMar w:top="1134" w:right="1133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7F" w:rsidRDefault="004C3B7F">
      <w:pPr>
        <w:spacing w:after="0" w:line="240" w:lineRule="auto"/>
      </w:pPr>
      <w:r>
        <w:separator/>
      </w:r>
    </w:p>
  </w:endnote>
  <w:endnote w:type="continuationSeparator" w:id="0">
    <w:p w:rsidR="004C3B7F" w:rsidRDefault="004C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B9" w:rsidRDefault="006949DF">
    <w:pPr>
      <w:pStyle w:val="ae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811530" cy="323215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1530" cy="323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374B9" w:rsidRDefault="00735549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7657F">
                            <w:instrText>PAGE</w:instrText>
                          </w:r>
                          <w:r>
                            <w:fldChar w:fldCharType="separate"/>
                          </w:r>
                          <w:r w:rsidR="00832F6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12.7pt;margin-top:.05pt;width:63.9pt;height:25.45pt;z-index:12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" stroked="f">
              <v:fill opacity="0"/>
              <v:path arrowok="t"/>
              <v:textbox style="mso-fit-shape-to-text:t" inset="0,0,0,0">
                <w:txbxContent>
                  <w:p w:rsidR="001374B9" w:rsidRDefault="00735549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7657F">
                      <w:instrText>PAGE</w:instrText>
                    </w:r>
                    <w:r>
                      <w:fldChar w:fldCharType="separate"/>
                    </w:r>
                    <w:r w:rsidR="00832F6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7F" w:rsidRDefault="004C3B7F">
      <w:pPr>
        <w:spacing w:after="0" w:line="240" w:lineRule="auto"/>
      </w:pPr>
      <w:r>
        <w:separator/>
      </w:r>
    </w:p>
  </w:footnote>
  <w:footnote w:type="continuationSeparator" w:id="0">
    <w:p w:rsidR="004C3B7F" w:rsidRDefault="004C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D8F"/>
    <w:multiLevelType w:val="multilevel"/>
    <w:tmpl w:val="F19C7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08D0"/>
    <w:multiLevelType w:val="multilevel"/>
    <w:tmpl w:val="6E287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2">
    <w:nsid w:val="125A3101"/>
    <w:multiLevelType w:val="multilevel"/>
    <w:tmpl w:val="5C6AB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753BE1"/>
    <w:multiLevelType w:val="multilevel"/>
    <w:tmpl w:val="D3E0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343A"/>
    <w:multiLevelType w:val="multilevel"/>
    <w:tmpl w:val="AE3230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53F4"/>
    <w:multiLevelType w:val="multilevel"/>
    <w:tmpl w:val="0B062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87904"/>
    <w:multiLevelType w:val="multilevel"/>
    <w:tmpl w:val="AC2A5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82C90"/>
    <w:multiLevelType w:val="multilevel"/>
    <w:tmpl w:val="819830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B60BB"/>
    <w:multiLevelType w:val="multilevel"/>
    <w:tmpl w:val="64D4A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B9"/>
    <w:rsid w:val="00002EDD"/>
    <w:rsid w:val="00082C60"/>
    <w:rsid w:val="001374B9"/>
    <w:rsid w:val="00326442"/>
    <w:rsid w:val="00433A02"/>
    <w:rsid w:val="00494611"/>
    <w:rsid w:val="004C3B7F"/>
    <w:rsid w:val="005513FE"/>
    <w:rsid w:val="00560A71"/>
    <w:rsid w:val="005C01E0"/>
    <w:rsid w:val="006949DF"/>
    <w:rsid w:val="006E7917"/>
    <w:rsid w:val="00735549"/>
    <w:rsid w:val="00832F61"/>
    <w:rsid w:val="008652A0"/>
    <w:rsid w:val="00873FED"/>
    <w:rsid w:val="008A0B2B"/>
    <w:rsid w:val="008D66CF"/>
    <w:rsid w:val="0097657F"/>
    <w:rsid w:val="00A57954"/>
    <w:rsid w:val="00A61DD5"/>
    <w:rsid w:val="00C00171"/>
    <w:rsid w:val="00C06462"/>
    <w:rsid w:val="00C7291A"/>
    <w:rsid w:val="00CE6AC9"/>
    <w:rsid w:val="00ED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Текст Знак"/>
    <w:qFormat/>
    <w:rsid w:val="00F91285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с отступом Знак"/>
    <w:semiHidden/>
    <w:qFormat/>
    <w:rsid w:val="00241161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InternetLink">
    <w:name w:val="Internet Link"/>
    <w:rsid w:val="00E9721B"/>
    <w:rPr>
      <w:color w:val="0000FF"/>
      <w:u w:val="single"/>
    </w:rPr>
  </w:style>
  <w:style w:type="character" w:customStyle="1" w:styleId="FontStyle12">
    <w:name w:val="Font Style12"/>
    <w:qFormat/>
    <w:rsid w:val="00CD3EBE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sid w:val="00CD3EBE"/>
    <w:rPr>
      <w:rFonts w:ascii="Cambria" w:hAnsi="Cambria" w:cs="Cambria"/>
      <w:sz w:val="20"/>
      <w:szCs w:val="20"/>
    </w:rPr>
  </w:style>
  <w:style w:type="character" w:customStyle="1" w:styleId="citationweb">
    <w:name w:val="citation web"/>
    <w:qFormat/>
    <w:rsid w:val="008448F5"/>
  </w:style>
  <w:style w:type="character" w:styleId="a6">
    <w:name w:val="Placeholder Text"/>
    <w:basedOn w:val="a0"/>
    <w:uiPriority w:val="99"/>
    <w:semiHidden/>
    <w:qFormat/>
    <w:rsid w:val="00C254C5"/>
    <w:rPr>
      <w:color w:val="808080"/>
    </w:rPr>
  </w:style>
  <w:style w:type="character" w:customStyle="1" w:styleId="a7">
    <w:name w:val="Текст выноски Знак"/>
    <w:basedOn w:val="a0"/>
    <w:uiPriority w:val="99"/>
    <w:semiHidden/>
    <w:qFormat/>
    <w:rsid w:val="00C254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b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e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 Знак Знак Знак"/>
    <w:basedOn w:val="a"/>
    <w:qFormat/>
    <w:rsid w:val="00366D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qFormat/>
    <w:rsid w:val="00F912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 Indent"/>
    <w:basedOn w:val="a"/>
    <w:semiHidden/>
    <w:unhideWhenUsed/>
    <w:rsid w:val="00241161"/>
    <w:pPr>
      <w:spacing w:after="120"/>
      <w:ind w:left="283"/>
    </w:pPr>
    <w:rPr>
      <w:rFonts w:eastAsia="Calibri"/>
      <w:lang w:val="x-none" w:eastAsia="en-US"/>
    </w:rPr>
  </w:style>
  <w:style w:type="paragraph" w:customStyle="1" w:styleId="Style4">
    <w:name w:val="Style4"/>
    <w:basedOn w:val="a"/>
    <w:qFormat/>
    <w:rsid w:val="00CD3EB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qFormat/>
    <w:rsid w:val="00CD3EBE"/>
    <w:pPr>
      <w:widowControl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C254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Текст Знак"/>
    <w:qFormat/>
    <w:rsid w:val="00F91285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с отступом Знак"/>
    <w:semiHidden/>
    <w:qFormat/>
    <w:rsid w:val="00241161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InternetLink">
    <w:name w:val="Internet Link"/>
    <w:rsid w:val="00E9721B"/>
    <w:rPr>
      <w:color w:val="0000FF"/>
      <w:u w:val="single"/>
    </w:rPr>
  </w:style>
  <w:style w:type="character" w:customStyle="1" w:styleId="FontStyle12">
    <w:name w:val="Font Style12"/>
    <w:qFormat/>
    <w:rsid w:val="00CD3EBE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sid w:val="00CD3EBE"/>
    <w:rPr>
      <w:rFonts w:ascii="Cambria" w:hAnsi="Cambria" w:cs="Cambria"/>
      <w:sz w:val="20"/>
      <w:szCs w:val="20"/>
    </w:rPr>
  </w:style>
  <w:style w:type="character" w:customStyle="1" w:styleId="citationweb">
    <w:name w:val="citation web"/>
    <w:qFormat/>
    <w:rsid w:val="008448F5"/>
  </w:style>
  <w:style w:type="character" w:styleId="a6">
    <w:name w:val="Placeholder Text"/>
    <w:basedOn w:val="a0"/>
    <w:uiPriority w:val="99"/>
    <w:semiHidden/>
    <w:qFormat/>
    <w:rsid w:val="00C254C5"/>
    <w:rPr>
      <w:color w:val="808080"/>
    </w:rPr>
  </w:style>
  <w:style w:type="character" w:customStyle="1" w:styleId="a7">
    <w:name w:val="Текст выноски Знак"/>
    <w:basedOn w:val="a0"/>
    <w:uiPriority w:val="99"/>
    <w:semiHidden/>
    <w:qFormat/>
    <w:rsid w:val="00C254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b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e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 Знак Знак Знак"/>
    <w:basedOn w:val="a"/>
    <w:qFormat/>
    <w:rsid w:val="00366D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qFormat/>
    <w:rsid w:val="00F912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 Indent"/>
    <w:basedOn w:val="a"/>
    <w:semiHidden/>
    <w:unhideWhenUsed/>
    <w:rsid w:val="00241161"/>
    <w:pPr>
      <w:spacing w:after="120"/>
      <w:ind w:left="283"/>
    </w:pPr>
    <w:rPr>
      <w:rFonts w:eastAsia="Calibri"/>
      <w:lang w:val="x-none" w:eastAsia="en-US"/>
    </w:rPr>
  </w:style>
  <w:style w:type="paragraph" w:customStyle="1" w:styleId="Style4">
    <w:name w:val="Style4"/>
    <w:basedOn w:val="a"/>
    <w:qFormat/>
    <w:rsid w:val="00CD3EB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qFormat/>
    <w:rsid w:val="00CD3EBE"/>
    <w:pPr>
      <w:widowControl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C254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2089-FE3F-42E8-94A5-8110203A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4</cp:revision>
  <cp:lastPrinted>2015-07-16T08:02:00Z</cp:lastPrinted>
  <dcterms:created xsi:type="dcterms:W3CDTF">2018-02-23T17:59:00Z</dcterms:created>
  <dcterms:modified xsi:type="dcterms:W3CDTF">2018-02-23T18:32:00Z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