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C7F59" w:rsidRDefault="008C1A95" w:rsidP="00541C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eastAsia="Calibri" w:hAnsi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32"/>
                <w:szCs w:val="32"/>
              </w:rPr>
              <w:t>.Б.</w:t>
            </w:r>
            <w:r>
              <w:rPr>
                <w:rFonts w:ascii="Times New Roman" w:eastAsia="Calibri" w:hAnsi="Times New Roman"/>
                <w:sz w:val="32"/>
                <w:szCs w:val="32"/>
                <w:lang w:val="en-US"/>
              </w:rPr>
              <w:t>2</w:t>
            </w:r>
            <w:r w:rsidR="00541C30">
              <w:rPr>
                <w:rFonts w:ascii="Times New Roman" w:eastAsia="Calibri" w:hAnsi="Times New Roman"/>
                <w:sz w:val="32"/>
                <w:szCs w:val="32"/>
                <w:lang w:val="en-US"/>
              </w:rPr>
              <w:t>6</w:t>
            </w:r>
            <w:r w:rsidR="007C7F59">
              <w:rPr>
                <w:rFonts w:ascii="Times New Roman" w:eastAsia="Calibri" w:hAnsi="Times New Roman"/>
                <w:sz w:val="32"/>
                <w:szCs w:val="32"/>
                <w:lang w:val="en-US"/>
              </w:rPr>
              <w:t xml:space="preserve"> </w:t>
            </w:r>
            <w:r w:rsidR="007C7F59">
              <w:rPr>
                <w:rFonts w:ascii="Times New Roman" w:eastAsia="Calibri" w:hAnsi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16B52" w:rsidP="00B16B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8820"/>
      </w:tblGrid>
      <w:tr w:rsidR="00B16B52" w:rsidRPr="009A0668" w:rsidTr="007B1CD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B52" w:rsidRPr="00D35768" w:rsidRDefault="00B16B52" w:rsidP="007B1C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B52" w:rsidRPr="00D35768" w:rsidRDefault="00B16B52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общий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C7F59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>01.03.0</w:t>
      </w:r>
      <w:r w:rsidR="00B16B52" w:rsidRPr="00B16B52">
        <w:rPr>
          <w:rFonts w:ascii="Times New Roman" w:hAnsi="Times New Roman"/>
          <w:color w:val="000000"/>
          <w:sz w:val="28"/>
          <w:szCs w:val="28"/>
        </w:rPr>
        <w:t>3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AE">
        <w:rPr>
          <w:rFonts w:ascii="Times New Roman" w:hAnsi="Times New Roman"/>
          <w:sz w:val="28"/>
          <w:szCs w:val="28"/>
        </w:rPr>
        <w:t>«М</w:t>
      </w:r>
      <w:r w:rsidR="00B16B52">
        <w:rPr>
          <w:rFonts w:ascii="Times New Roman" w:hAnsi="Times New Roman"/>
          <w:sz w:val="28"/>
          <w:szCs w:val="28"/>
        </w:rPr>
        <w:t>еханика и математическое моделирование</w:t>
      </w:r>
      <w:r w:rsidRPr="002D0934">
        <w:rPr>
          <w:rFonts w:ascii="Times New Roman" w:hAnsi="Times New Roman"/>
          <w:sz w:val="28"/>
          <w:szCs w:val="28"/>
        </w:rPr>
        <w:t>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B16B52">
        <w:rPr>
          <w:rFonts w:ascii="Times New Roman" w:hAnsi="Times New Roman"/>
          <w:sz w:val="28"/>
          <w:szCs w:val="28"/>
        </w:rPr>
        <w:t>2</w:t>
      </w:r>
      <w:r w:rsidR="00541C30" w:rsidRPr="00541C30">
        <w:rPr>
          <w:rFonts w:ascii="Times New Roman" w:hAnsi="Times New Roman"/>
          <w:sz w:val="28"/>
          <w:szCs w:val="28"/>
        </w:rPr>
        <w:t>6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 xml:space="preserve">. Дисциплина обязательна для освоения в </w:t>
      </w:r>
      <w:r w:rsidR="007C7F59">
        <w:rPr>
          <w:rFonts w:ascii="Times New Roman" w:hAnsi="Times New Roman"/>
          <w:sz w:val="28"/>
          <w:szCs w:val="28"/>
        </w:rPr>
        <w:t>5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B316B3">
        <w:rPr>
          <w:rFonts w:ascii="Times New Roman" w:hAnsi="Times New Roman"/>
          <w:sz w:val="28"/>
          <w:szCs w:val="28"/>
        </w:rPr>
        <w:t>Математическая статистика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6A06C7">
        <w:rPr>
          <w:rFonts w:ascii="Times New Roman" w:hAnsi="Times New Roman"/>
          <w:sz w:val="28"/>
          <w:szCs w:val="28"/>
        </w:rPr>
        <w:t>»,</w:t>
      </w:r>
      <w:r w:rsidR="00CB7899">
        <w:rPr>
          <w:rFonts w:ascii="Times New Roman" w:hAnsi="Times New Roman"/>
          <w:sz w:val="28"/>
          <w:szCs w:val="28"/>
        </w:rPr>
        <w:t xml:space="preserve"> «</w:t>
      </w:r>
      <w:r w:rsidR="006A06C7">
        <w:rPr>
          <w:rFonts w:ascii="Times New Roman" w:hAnsi="Times New Roman"/>
          <w:sz w:val="28"/>
          <w:szCs w:val="28"/>
        </w:rPr>
        <w:t>Теория вероятностей</w:t>
      </w:r>
      <w:r w:rsidR="00CB7899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2F4890">
        <w:rPr>
          <w:rFonts w:ascii="Times New Roman" w:hAnsi="Times New Roman"/>
          <w:sz w:val="28"/>
          <w:szCs w:val="28"/>
        </w:rPr>
        <w:t>, основ исчисления вероятностей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3913DB">
        <w:rPr>
          <w:rFonts w:ascii="Times New Roman" w:hAnsi="Times New Roman"/>
          <w:sz w:val="28"/>
          <w:szCs w:val="24"/>
        </w:rPr>
        <w:t>Математическая статистика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</w:t>
      </w:r>
      <w:r w:rsidR="004A5034">
        <w:rPr>
          <w:rFonts w:ascii="Times New Roman" w:hAnsi="Times New Roman"/>
          <w:sz w:val="28"/>
          <w:szCs w:val="24"/>
        </w:rPr>
        <w:t>обработки случайных наблюдений и проверки простейших статистических гипотез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A0668" w:rsidRDefault="00497D89" w:rsidP="007B1CD2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497D89" w:rsidRPr="009A0668" w:rsidRDefault="00497D89" w:rsidP="007B1CD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Pr="00985BD5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497D89" w:rsidRPr="006F6C8E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497D89" w:rsidRDefault="00497D89" w:rsidP="007B1CD2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497D89" w:rsidRDefault="00497D89" w:rsidP="00497D8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CF040D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</w:t>
            </w:r>
            <w:r w:rsidR="00CF040D">
              <w:rPr>
                <w:rFonts w:eastAsia="MS Mincho"/>
                <w:i/>
                <w:lang w:eastAsia="ar-SA"/>
              </w:rPr>
              <w:t xml:space="preserve"> многомерных законов распределений</w:t>
            </w:r>
            <w:r>
              <w:rPr>
                <w:i/>
              </w:rPr>
              <w:t>.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6F6C8E" w:rsidRPr="000B6C2B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497D89" w:rsidRPr="00367563" w:rsidRDefault="00497D89" w:rsidP="008702A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(ПК1) Фундаментальную роль понятия статистически устойчивого случайного эксперимента</w:t>
            </w:r>
          </w:p>
        </w:tc>
      </w:tr>
      <w:tr w:rsidR="00497D89" w:rsidRPr="009A0668" w:rsidTr="007B1CD2">
        <w:trPr>
          <w:jc w:val="center"/>
        </w:trPr>
        <w:tc>
          <w:tcPr>
            <w:tcW w:w="3473" w:type="dxa"/>
          </w:tcPr>
          <w:p w:rsidR="00497D89" w:rsidRDefault="00497D89" w:rsidP="007B1CD2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497D89" w:rsidRPr="00691B80" w:rsidRDefault="00497D89" w:rsidP="007B1CD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97D89" w:rsidRPr="009A0668" w:rsidRDefault="006F6C8E" w:rsidP="007B1CD2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497D89" w:rsidRPr="002B73ED" w:rsidRDefault="00497D89" w:rsidP="007B1CD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497D89" w:rsidRPr="00367563" w:rsidRDefault="00497D89" w:rsidP="00A85ED8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 xml:space="preserve">(ПК4) </w:t>
            </w:r>
            <w:r w:rsidR="00103D26">
              <w:rPr>
                <w:rFonts w:eastAsia="MS Mincho"/>
                <w:i/>
                <w:lang w:eastAsia="ar-SA"/>
              </w:rPr>
              <w:t>Уметь: строить</w:t>
            </w:r>
            <w:r w:rsidR="00C966A1">
              <w:rPr>
                <w:rFonts w:eastAsia="MS Mincho"/>
                <w:i/>
                <w:lang w:eastAsia="ar-SA"/>
              </w:rPr>
              <w:t xml:space="preserve"> статистические</w:t>
            </w:r>
            <w:r w:rsidR="00103D26">
              <w:rPr>
                <w:rFonts w:eastAsia="MS Mincho"/>
                <w:i/>
                <w:lang w:eastAsia="ar-SA"/>
              </w:rPr>
              <w:t xml:space="preserve"> модели </w:t>
            </w:r>
            <w:r w:rsidR="00A85ED8">
              <w:rPr>
                <w:rFonts w:eastAsia="MS Mincho"/>
                <w:i/>
                <w:lang w:eastAsia="ar-SA"/>
              </w:rPr>
              <w:t>процессов и явлений реального мира</w:t>
            </w: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137F3F">
        <w:rPr>
          <w:sz w:val="28"/>
        </w:rPr>
        <w:t>Математическая статистика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27486C" w:rsidRPr="004441FE" w:rsidRDefault="00324F8D" w:rsidP="004E52EB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1D76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F1D76">
        <w:rPr>
          <w:rFonts w:ascii="Times New Roman" w:hAnsi="Times New Roman"/>
          <w:sz w:val="28"/>
          <w:szCs w:val="28"/>
          <w:u w:val="single"/>
        </w:rPr>
        <w:t>108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50</w:t>
      </w:r>
      <w:r w:rsidR="00CF1D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3E1477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4E5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2EB">
        <w:rPr>
          <w:rFonts w:ascii="Times New Roman" w:hAnsi="Times New Roman"/>
          <w:sz w:val="28"/>
          <w:szCs w:val="28"/>
        </w:rPr>
        <w:t>(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End"/>
      <w:r w:rsidR="003E1477">
        <w:rPr>
          <w:rFonts w:ascii="Times New Roman" w:hAnsi="Times New Roman"/>
          <w:sz w:val="28"/>
          <w:szCs w:val="28"/>
          <w:u w:val="single"/>
        </w:rPr>
        <w:t>16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32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</w:rPr>
        <w:t>часа</w:t>
      </w:r>
      <w:r w:rsidRPr="004441FE">
        <w:rPr>
          <w:rFonts w:ascii="Times New Roman" w:hAnsi="Times New Roman"/>
          <w:sz w:val="28"/>
          <w:szCs w:val="28"/>
        </w:rPr>
        <w:t xml:space="preserve">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4E52EB">
        <w:rPr>
          <w:rFonts w:ascii="Times New Roman" w:hAnsi="Times New Roman"/>
          <w:sz w:val="28"/>
          <w:szCs w:val="28"/>
        </w:rPr>
        <w:t xml:space="preserve">, </w:t>
      </w:r>
      <w:r w:rsidR="003E1477">
        <w:rPr>
          <w:rFonts w:ascii="Times New Roman" w:hAnsi="Times New Roman"/>
          <w:sz w:val="28"/>
          <w:szCs w:val="28"/>
        </w:rPr>
        <w:t xml:space="preserve">  </w:t>
      </w:r>
      <w:r w:rsidR="003E1477" w:rsidRPr="003E1477">
        <w:rPr>
          <w:rFonts w:ascii="Times New Roman" w:hAnsi="Times New Roman"/>
          <w:b/>
          <w:sz w:val="28"/>
          <w:szCs w:val="28"/>
          <w:u w:val="single"/>
        </w:rPr>
        <w:t>2</w:t>
      </w:r>
      <w:r w:rsidR="003E1477">
        <w:rPr>
          <w:rFonts w:ascii="Times New Roman" w:hAnsi="Times New Roman"/>
          <w:sz w:val="28"/>
          <w:szCs w:val="28"/>
        </w:rPr>
        <w:t xml:space="preserve"> часа промежуточной аттестации</w:t>
      </w:r>
      <w:r w:rsidR="004E52EB">
        <w:rPr>
          <w:rFonts w:ascii="Times New Roman" w:hAnsi="Times New Roman"/>
          <w:sz w:val="28"/>
          <w:szCs w:val="28"/>
        </w:rPr>
        <w:t xml:space="preserve">), </w:t>
      </w:r>
      <w:r w:rsidR="00E73F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1477">
        <w:rPr>
          <w:rFonts w:ascii="Times New Roman" w:hAnsi="Times New Roman"/>
          <w:sz w:val="28"/>
          <w:szCs w:val="28"/>
          <w:u w:val="single"/>
        </w:rPr>
        <w:t>58</w:t>
      </w:r>
      <w:r w:rsidR="00DB6B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86C">
        <w:rPr>
          <w:rFonts w:ascii="Times New Roman" w:hAnsi="Times New Roman"/>
          <w:sz w:val="28"/>
          <w:szCs w:val="28"/>
        </w:rPr>
        <w:t xml:space="preserve"> часов с</w:t>
      </w:r>
      <w:r w:rsidR="003E1477">
        <w:rPr>
          <w:rFonts w:ascii="Times New Roman" w:hAnsi="Times New Roman"/>
          <w:sz w:val="28"/>
          <w:szCs w:val="28"/>
        </w:rPr>
        <w:t xml:space="preserve">амостоятельной работы студентов (в </w:t>
      </w:r>
      <w:proofErr w:type="spellStart"/>
      <w:r w:rsidR="003E1477">
        <w:rPr>
          <w:rFonts w:ascii="Times New Roman" w:hAnsi="Times New Roman"/>
          <w:sz w:val="28"/>
          <w:szCs w:val="28"/>
        </w:rPr>
        <w:t>т.ч</w:t>
      </w:r>
      <w:proofErr w:type="spellEnd"/>
      <w:r w:rsidR="003E1477">
        <w:rPr>
          <w:rFonts w:ascii="Times New Roman" w:hAnsi="Times New Roman"/>
          <w:sz w:val="28"/>
          <w:szCs w:val="28"/>
        </w:rPr>
        <w:t>. 36 часов подготовки к экзамену)</w:t>
      </w:r>
      <w:r w:rsidR="004E52EB">
        <w:rPr>
          <w:rFonts w:ascii="Times New Roman" w:hAnsi="Times New Roman"/>
          <w:sz w:val="28"/>
          <w:szCs w:val="28"/>
        </w:rPr>
        <w:t>.</w:t>
      </w:r>
    </w:p>
    <w:p w:rsidR="00E73F19" w:rsidRDefault="00E73F1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742"/>
        <w:gridCol w:w="710"/>
        <w:gridCol w:w="568"/>
        <w:gridCol w:w="568"/>
        <w:gridCol w:w="250"/>
        <w:gridCol w:w="1068"/>
        <w:gridCol w:w="657"/>
        <w:gridCol w:w="618"/>
        <w:gridCol w:w="740"/>
      </w:tblGrid>
      <w:tr w:rsidR="00DB6CF6" w:rsidRPr="009A0668" w:rsidTr="00E73F19">
        <w:trPr>
          <w:trHeight w:val="135"/>
          <w:tblHeader/>
          <w:jc w:val="center"/>
        </w:trPr>
        <w:tc>
          <w:tcPr>
            <w:tcW w:w="2080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4E52EB">
        <w:trPr>
          <w:cantSplit/>
          <w:trHeight w:val="791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95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4E52EB">
        <w:trPr>
          <w:cantSplit/>
          <w:trHeight w:val="1735"/>
          <w:tblHeader/>
          <w:jc w:val="center"/>
        </w:trPr>
        <w:tc>
          <w:tcPr>
            <w:tcW w:w="2080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proofErr w:type="spellStart"/>
            <w:r w:rsidR="003E1477" w:rsidRPr="003E1477">
              <w:rPr>
                <w:rFonts w:ascii="Times New Roman" w:hAnsi="Times New Roman"/>
                <w:b/>
              </w:rPr>
              <w:t>семинарского</w:t>
            </w:r>
            <w:r w:rsidRPr="003E1477">
              <w:rPr>
                <w:rFonts w:ascii="Times New Roman" w:hAnsi="Times New Roman"/>
                <w:b/>
              </w:rPr>
              <w:t>о</w:t>
            </w:r>
            <w:proofErr w:type="spellEnd"/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E1477">
              <w:rPr>
                <w:rFonts w:ascii="Times New Roman" w:hAnsi="Times New Roman"/>
                <w:b/>
              </w:rPr>
              <w:t xml:space="preserve"> Занятия </w:t>
            </w:r>
            <w:r w:rsidR="003E1477" w:rsidRPr="003E1477">
              <w:rPr>
                <w:rFonts w:ascii="Times New Roman" w:hAnsi="Times New Roman"/>
                <w:b/>
              </w:rPr>
              <w:t>лекционного</w:t>
            </w:r>
            <w:r w:rsidRPr="003E1477">
              <w:rPr>
                <w:rFonts w:ascii="Times New Roman" w:hAnsi="Times New Roman"/>
                <w:b/>
              </w:rPr>
              <w:t xml:space="preserve">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3E147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104515" w:rsidTr="004E52EB">
        <w:trPr>
          <w:trHeight w:val="202"/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0CAA" w:rsidRPr="00A665FD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F0CAA" w:rsidRPr="00D42973" w:rsidRDefault="009F0CAA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F0CAA" w:rsidRPr="00D42973" w:rsidRDefault="006F6C8E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7C3188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распределений.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случайных величин, пределы и признаки сходимости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больших чисел (теоремы Бернулли, Чебышева). Центральная предельная 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теорема Ляпунова, Муавра – Лапласа).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функция распределения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понятие о теореме Гливенко.  Выборочные моменты случайных величин.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B41D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A15B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Pr="005C18AF" w:rsidRDefault="00E73F19" w:rsidP="00E73F19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Доверительные интервалы. Качество оценок.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8455E5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027E6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027E6" w:rsidP="00BA7C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027E6" w:rsidP="003027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F19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19" w:rsidRDefault="00E73F19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F19" w:rsidRPr="00D42973" w:rsidRDefault="006B341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14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3F19" w:rsidRPr="00D42973" w:rsidRDefault="003E1477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3E1477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73F19" w:rsidRPr="00D42973" w:rsidRDefault="003E1477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73F19" w:rsidRPr="00D42973" w:rsidRDefault="00E73F19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19" w:rsidRPr="00D42973" w:rsidRDefault="003E1477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E52EB" w:rsidRPr="00104515" w:rsidTr="004E52EB">
        <w:trPr>
          <w:jc w:val="center"/>
        </w:trPr>
        <w:tc>
          <w:tcPr>
            <w:tcW w:w="2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2EB" w:rsidRDefault="004E52EB" w:rsidP="00E73F19">
            <w:pPr>
              <w:tabs>
                <w:tab w:val="num" w:pos="643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2EB" w:rsidRDefault="004E52E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2EB" w:rsidRDefault="004E52E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4E52EB" w:rsidRDefault="004E52EB" w:rsidP="009D6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4E52EB" w:rsidRPr="00D42973" w:rsidRDefault="004E52E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E52EB" w:rsidRPr="00D42973" w:rsidRDefault="004E52E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52EB" w:rsidRDefault="004E52EB" w:rsidP="006F6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E52EB" w:rsidRDefault="004E52EB" w:rsidP="007B03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E52EB" w:rsidRPr="00D42973" w:rsidRDefault="004E52EB" w:rsidP="009F0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52EB" w:rsidRDefault="004E52EB" w:rsidP="007552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1477" w:rsidRPr="009A0668" w:rsidTr="003E1477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E1477" w:rsidRPr="00D42973" w:rsidRDefault="003E1477" w:rsidP="003E14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Экзамен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2EB"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lastRenderedPageBreak/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9E2DD1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085CF4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9E2DD1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9E2DD1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lastRenderedPageBreak/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7B1CD2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математической статистики.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CB1502" w:rsidRDefault="009E2DD1" w:rsidP="009E2D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математической статистики</w:t>
            </w:r>
            <w:r w:rsidRPr="001C41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9E2DD1" w:rsidRPr="001C41F5" w:rsidTr="007B1CD2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356F0E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9E2DD1" w:rsidRDefault="009E2DD1" w:rsidP="00AD4032">
      <w:pPr>
        <w:pStyle w:val="a7"/>
        <w:ind w:left="785"/>
        <w:rPr>
          <w:rFonts w:ascii="Times New Roman" w:hAnsi="Times New Roman"/>
          <w:sz w:val="20"/>
          <w:szCs w:val="20"/>
        </w:rPr>
      </w:pPr>
    </w:p>
    <w:p w:rsidR="009E2DD1" w:rsidRPr="001C41F5" w:rsidRDefault="009E2DD1" w:rsidP="00AD4032">
      <w:pPr>
        <w:pStyle w:val="a7"/>
        <w:ind w:left="78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9E2DD1" w:rsidRPr="00A9285D" w:rsidTr="007B1CD2">
        <w:tc>
          <w:tcPr>
            <w:tcW w:w="3090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E2DD1" w:rsidRPr="00A9285D" w:rsidRDefault="009E2DD1" w:rsidP="007B1CD2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9E2DD1" w:rsidRPr="001C41F5" w:rsidTr="007B1CD2">
        <w:tc>
          <w:tcPr>
            <w:tcW w:w="3090" w:type="dxa"/>
            <w:vMerge w:val="restart"/>
            <w:shd w:val="clear" w:color="auto" w:fill="auto"/>
          </w:tcPr>
          <w:p w:rsidR="009E2DD1" w:rsidRPr="00A67EFD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9E2DD1" w:rsidRPr="001C41F5" w:rsidRDefault="009E2DD1" w:rsidP="007B1C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9E2DD1" w:rsidRPr="001C41F5" w:rsidTr="0058314F">
        <w:trPr>
          <w:trHeight w:val="1379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9E2DD1" w:rsidRPr="001C41F5" w:rsidTr="007B1CD2"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9E2DD1" w:rsidRPr="001C41F5" w:rsidTr="0058314F">
        <w:trPr>
          <w:trHeight w:val="938"/>
        </w:trPr>
        <w:tc>
          <w:tcPr>
            <w:tcW w:w="3090" w:type="dxa"/>
            <w:vMerge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E2DD1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9E2DD1" w:rsidRPr="001C41F5" w:rsidRDefault="009E2DD1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8314F" w:rsidRPr="001C41F5" w:rsidTr="007B1CD2">
        <w:trPr>
          <w:trHeight w:val="993"/>
        </w:trPr>
        <w:tc>
          <w:tcPr>
            <w:tcW w:w="3090" w:type="dxa"/>
            <w:vMerge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8314F" w:rsidRPr="001C41F5" w:rsidRDefault="0058314F" w:rsidP="007B1CD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</w:tbl>
    <w:p w:rsidR="009E2DD1" w:rsidRPr="009E2DD1" w:rsidRDefault="009E2DD1" w:rsidP="009E2DD1">
      <w:pPr>
        <w:pStyle w:val="a7"/>
        <w:ind w:left="785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E2D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9E2DD1" w:rsidRPr="007B7B5F" w:rsidTr="007B1CD2">
        <w:tc>
          <w:tcPr>
            <w:tcW w:w="1696" w:type="dxa"/>
            <w:vMerge w:val="restart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9E2DD1" w:rsidRPr="007B7B5F" w:rsidRDefault="009E2DD1" w:rsidP="007B1CD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9E2DD1" w:rsidRPr="007B7B5F" w:rsidTr="007B1CD2">
        <w:tc>
          <w:tcPr>
            <w:tcW w:w="1696" w:type="dxa"/>
            <w:vMerge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9E2DD1" w:rsidRPr="007B7B5F" w:rsidTr="007B1CD2">
        <w:tc>
          <w:tcPr>
            <w:tcW w:w="169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9E2DD1" w:rsidRPr="007B7B5F" w:rsidRDefault="009E2DD1" w:rsidP="007B1CD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</w:tbl>
    <w:p w:rsidR="009E2DD1" w:rsidRPr="002B29A4" w:rsidRDefault="009E2DD1" w:rsidP="009E2DD1">
      <w:pPr>
        <w:pStyle w:val="a7"/>
        <w:ind w:left="78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оценивания результато</w:t>
      </w:r>
      <w:r w:rsidRPr="00371FDE">
        <w:rPr>
          <w:rFonts w:ascii="Times New Roman" w:hAnsi="Times New Roman"/>
          <w:sz w:val="28"/>
          <w:szCs w:val="24"/>
        </w:rPr>
        <w:t>в «</w:t>
      </w:r>
      <w:r w:rsidR="00371FDE" w:rsidRPr="00371FDE">
        <w:rPr>
          <w:rFonts w:ascii="Times New Roman" w:hAnsi="Times New Roman"/>
          <w:sz w:val="28"/>
          <w:szCs w:val="24"/>
        </w:rPr>
        <w:t>Математическая статистика</w:t>
      </w:r>
      <w:r w:rsidRPr="00371FDE">
        <w:rPr>
          <w:rFonts w:ascii="Times New Roman" w:hAnsi="Times New Roman"/>
          <w:sz w:val="28"/>
          <w:szCs w:val="24"/>
        </w:rPr>
        <w:t>» у</w:t>
      </w:r>
      <w:r w:rsidR="00CB4173" w:rsidRPr="00371FDE">
        <w:rPr>
          <w:rFonts w:ascii="Times New Roman" w:hAnsi="Times New Roman"/>
          <w:sz w:val="28"/>
          <w:szCs w:val="24"/>
        </w:rPr>
        <w:t>ч</w:t>
      </w:r>
      <w:r w:rsidR="00CB4173" w:rsidRPr="00B20735">
        <w:rPr>
          <w:rFonts w:ascii="Times New Roman" w:hAnsi="Times New Roman"/>
          <w:sz w:val="28"/>
          <w:szCs w:val="24"/>
        </w:rPr>
        <w:t xml:space="preserve">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r w:rsidR="002F2D91" w:rsidRPr="002F2D91">
        <w:rPr>
          <w:rFonts w:ascii="Times New Roman" w:hAnsi="Times New Roman"/>
          <w:sz w:val="28"/>
          <w:szCs w:val="24"/>
        </w:rPr>
        <w:t>По результатам промежуточной аттестации проставляются оценки «плохо», «удовлетворительно», «хорошо», «очень хорошо», «отлично», «превосходно».</w:t>
      </w:r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2F2C22">
        <w:rPr>
          <w:rFonts w:ascii="Times New Roman" w:hAnsi="Times New Roman"/>
          <w:b/>
          <w:sz w:val="24"/>
          <w:szCs w:val="24"/>
        </w:rPr>
        <w:t>ний для оценки компетенции ОПК-2, ПК-4, ПК-9</w:t>
      </w:r>
    </w:p>
    <w:p w:rsidR="00CC193D" w:rsidRPr="008C1A95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 xml:space="preserve">Задача </w:t>
      </w:r>
      <w:r w:rsidRPr="008C1A95">
        <w:rPr>
          <w:rFonts w:ascii="Times New Roman" w:hAnsi="Times New Roman"/>
          <w:i/>
          <w:sz w:val="24"/>
          <w:szCs w:val="24"/>
        </w:rPr>
        <w:t>1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Случайные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Times New Roman" w:hAnsi="Times New Roman"/>
          <w:sz w:val="24"/>
          <w:szCs w:val="24"/>
        </w:rPr>
        <w:sym w:font="Symbol" w:char="F073"/>
      </w:r>
      <w:r w:rsidRPr="00DE634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Times New Roman" w:hAnsi="Times New Roman"/>
          <w:sz w:val="24"/>
          <w:szCs w:val="24"/>
        </w:rPr>
        <w:sym w:font="Symbol" w:char="F068"/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sym w:font="Symbol" w:char="F0D6"/>
      </w:r>
      <w:r>
        <w:rPr>
          <w:rFonts w:ascii="Times New Roman" w:hAnsi="Times New Roman"/>
          <w:sz w:val="24"/>
          <w:szCs w:val="24"/>
        </w:rPr>
        <w:sym w:font="Symbol" w:char="F070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 </w:t>
      </w:r>
      <w:r w:rsidRPr="007946D8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46D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 w:rsidRPr="007946D8">
        <w:rPr>
          <w:rFonts w:ascii="Times New Roman" w:hAnsi="Times New Roman"/>
          <w:sz w:val="24"/>
          <w:szCs w:val="24"/>
        </w:rPr>
        <w:t>|.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33CA">
        <w:rPr>
          <w:rFonts w:ascii="Times New Roman" w:hAnsi="Times New Roman"/>
          <w:i/>
          <w:sz w:val="24"/>
          <w:szCs w:val="24"/>
        </w:rPr>
        <w:t>Задача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1A95">
        <w:rPr>
          <w:rFonts w:ascii="Times New Roman" w:hAnsi="Times New Roman"/>
          <w:i/>
          <w:sz w:val="24"/>
          <w:szCs w:val="24"/>
        </w:rPr>
        <w:t>2</w:t>
      </w:r>
      <w:r w:rsidRPr="003933C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Двумерная случайная величина </w:t>
      </w:r>
      <w:r>
        <w:rPr>
          <w:rFonts w:ascii="Times New Roman" w:hAnsi="Times New Roman"/>
          <w:sz w:val="24"/>
          <w:szCs w:val="24"/>
        </w:rPr>
        <w:sym w:font="Symbol" w:char="F078"/>
      </w:r>
      <w:r>
        <w:rPr>
          <w:rFonts w:ascii="Times New Roman" w:hAnsi="Times New Roman"/>
          <w:sz w:val="24"/>
          <w:szCs w:val="24"/>
        </w:rPr>
        <w:t> = (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имеет плотность распределения</w:t>
      </w:r>
    </w:p>
    <w:p w:rsidR="00CC193D" w:rsidRDefault="00CC193D" w:rsidP="00CC193D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D6CDC">
        <w:rPr>
          <w:position w:val="-34"/>
        </w:rPr>
        <w:object w:dxaOrig="4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39.95pt" o:ole="">
            <v:imagedata r:id="rId9" o:title=""/>
          </v:shape>
          <o:OLEObject Type="Embed" ProgID="Equation.3" ShapeID="_x0000_i1025" DrawAspect="Content" ObjectID="_1588062665" r:id="rId10"/>
        </w:object>
      </w:r>
    </w:p>
    <w:p w:rsidR="00F26347" w:rsidRPr="00CC193D" w:rsidRDefault="00CC193D" w:rsidP="002F2C22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Times New Roman" w:hAnsi="Times New Roman"/>
          <w:sz w:val="24"/>
          <w:szCs w:val="24"/>
        </w:rPr>
        <w:sym w:font="Symbol" w:char="F078"/>
      </w:r>
      <w:r w:rsidRPr="00AD6CD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44C0B" w:rsidRPr="00E03E68" w:rsidRDefault="002F2C22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="00244C0B" w:rsidRPr="005C1D86">
        <w:rPr>
          <w:b/>
          <w:sz w:val="24"/>
          <w:szCs w:val="24"/>
        </w:rPr>
        <w:t>.</w:t>
      </w:r>
      <w:r w:rsidR="00244C0B">
        <w:rPr>
          <w:sz w:val="24"/>
          <w:szCs w:val="24"/>
        </w:rPr>
        <w:t xml:space="preserve"> Проверьте по критерию хи-квадрат Пирсона  гипотезу согласия выборки</w:t>
      </w:r>
      <w:r w:rsidR="00244C0B" w:rsidRPr="002C7AA8">
        <w:rPr>
          <w:sz w:val="24"/>
          <w:szCs w:val="24"/>
        </w:rPr>
        <w:t xml:space="preserve"> </w:t>
      </w:r>
    </w:p>
    <w:p w:rsidR="00244C0B" w:rsidRPr="00E03E68" w:rsidRDefault="00244C0B" w:rsidP="00244C0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E713FA">
        <w:rPr>
          <w:sz w:val="24"/>
          <w:szCs w:val="24"/>
        </w:rPr>
        <w:t xml:space="preserve">3.90;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4.26;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2.02;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2.21; 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 xml:space="preserve">2.75;  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3.31;   3.06;    2.78;</w:t>
      </w:r>
      <w:r w:rsidRPr="00E713FA">
        <w:rPr>
          <w:sz w:val="24"/>
          <w:szCs w:val="24"/>
        </w:rPr>
        <w:br/>
        <w:t>2.40</w:t>
      </w:r>
      <w:r w:rsidRPr="00E03E68">
        <w:rPr>
          <w:sz w:val="24"/>
          <w:szCs w:val="24"/>
        </w:rPr>
        <w:t xml:space="preserve">;  </w:t>
      </w:r>
      <w:r w:rsidRPr="00E713FA">
        <w:rPr>
          <w:sz w:val="24"/>
          <w:szCs w:val="24"/>
        </w:rPr>
        <w:t xml:space="preserve"> 2.12</w:t>
      </w:r>
      <w:r w:rsidRPr="00E03E68">
        <w:rPr>
          <w:sz w:val="24"/>
          <w:szCs w:val="24"/>
        </w:rPr>
        <w:t xml:space="preserve">; 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>3.27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3.70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2.43</w:t>
      </w:r>
      <w:r w:rsidRPr="00E03E68">
        <w:rPr>
          <w:sz w:val="24"/>
          <w:szCs w:val="24"/>
        </w:rPr>
        <w:t xml:space="preserve">;   </w:t>
      </w:r>
      <w:r w:rsidRPr="00E713FA">
        <w:rPr>
          <w:sz w:val="24"/>
          <w:szCs w:val="24"/>
        </w:rPr>
        <w:t xml:space="preserve"> 2.75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</w:t>
      </w:r>
      <w:r w:rsidRPr="00E03E68">
        <w:rPr>
          <w:sz w:val="24"/>
          <w:szCs w:val="24"/>
        </w:rPr>
        <w:t xml:space="preserve">  </w:t>
      </w:r>
      <w:r w:rsidRPr="00E713FA">
        <w:rPr>
          <w:sz w:val="24"/>
          <w:szCs w:val="24"/>
        </w:rPr>
        <w:t>2.86</w:t>
      </w:r>
      <w:r w:rsidRPr="00E03E68">
        <w:rPr>
          <w:sz w:val="24"/>
          <w:szCs w:val="24"/>
        </w:rPr>
        <w:t>;</w:t>
      </w:r>
      <w:r w:rsidRPr="00E713FA">
        <w:rPr>
          <w:sz w:val="24"/>
          <w:szCs w:val="24"/>
        </w:rPr>
        <w:t xml:space="preserve">    </w:t>
      </w:r>
      <w:r>
        <w:rPr>
          <w:sz w:val="24"/>
          <w:szCs w:val="24"/>
        </w:rPr>
        <w:t>2.49</w:t>
      </w:r>
    </w:p>
    <w:p w:rsidR="00244C0B" w:rsidRDefault="00244C0B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 равномерным распределением в интервале </w:t>
      </w:r>
      <w:r w:rsidRPr="005C1D86">
        <w:rPr>
          <w:sz w:val="24"/>
          <w:szCs w:val="24"/>
        </w:rPr>
        <w:t>(2, 5).</w:t>
      </w:r>
    </w:p>
    <w:p w:rsidR="0092215C" w:rsidRPr="005C1D86" w:rsidRDefault="0092215C" w:rsidP="00244C0B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2F2C22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>. Вопросы к экзамену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Математическое ожидание и дисперсия.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Ковариация и коэффициент корреляции. Их свойства.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Виды сходимости случайных последовательностей.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Законы больших чисел (теоремы Чебышева и Бернулли).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 xml:space="preserve">Центральная предельная теорема 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1634">
        <w:rPr>
          <w:rFonts w:ascii="Times New Roman" w:hAnsi="Times New Roman"/>
          <w:sz w:val="24"/>
          <w:szCs w:val="24"/>
        </w:rPr>
        <w:t>теорема Ляпунова, Муавра – Лапласа).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Эмпирическая функция распределения</w:t>
      </w:r>
      <w:proofErr w:type="gramStart"/>
      <w:r w:rsidRPr="000416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1634">
        <w:rPr>
          <w:rFonts w:ascii="Times New Roman" w:hAnsi="Times New Roman"/>
          <w:sz w:val="24"/>
          <w:szCs w:val="24"/>
        </w:rPr>
        <w:t xml:space="preserve"> понятие о теореме Гливенко.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Выборочные моменты случайных величин. Их свойства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lastRenderedPageBreak/>
        <w:t>Метод моментов для оценки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Качество точечных оценок параметров.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Доверительные интервалы. Примеры.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041634" w:rsidRPr="00041634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согласия хи-квадрат Пирсона.</w:t>
      </w:r>
    </w:p>
    <w:p w:rsidR="00DA7E19" w:rsidRPr="00DA7E19" w:rsidRDefault="00041634" w:rsidP="00041634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041634">
        <w:rPr>
          <w:rFonts w:ascii="Times New Roman" w:hAnsi="Times New Roman"/>
          <w:sz w:val="24"/>
          <w:szCs w:val="24"/>
        </w:rPr>
        <w:t>Критерий отношения правдоподобия.</w:t>
      </w:r>
    </w:p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</w:t>
      </w:r>
      <w:r w:rsidR="00152B03">
        <w:rPr>
          <w:rFonts w:ascii="Times New Roman" w:hAnsi="Times New Roman"/>
          <w:b/>
          <w:sz w:val="24"/>
          <w:szCs w:val="24"/>
        </w:rPr>
        <w:t xml:space="preserve">рке решений практических задач </w:t>
      </w:r>
    </w:p>
    <w:p w:rsidR="0092215C" w:rsidRPr="003E1EBE" w:rsidRDefault="0092215C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8C1A95">
        <w:tc>
          <w:tcPr>
            <w:tcW w:w="1845" w:type="dxa"/>
          </w:tcPr>
          <w:p w:rsidR="006A4296" w:rsidRPr="003F1D93" w:rsidRDefault="006A4296" w:rsidP="008C1A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8731FE"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A4296" w:rsidRPr="008731FE" w:rsidRDefault="006A4296" w:rsidP="006A429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061"/>
      </w:tblGrid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незначительными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</w:t>
            </w:r>
            <w:r w:rsidRPr="00643CB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аметными  погрешностями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негрубыми ошибками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</w:t>
            </w:r>
            <w:r>
              <w:rPr>
                <w:rFonts w:ascii="Times New Roman" w:hAnsi="Times New Roman"/>
                <w:sz w:val="24"/>
                <w:szCs w:val="24"/>
              </w:rPr>
              <w:t>, делает грубые ошибки</w:t>
            </w:r>
          </w:p>
        </w:tc>
      </w:tr>
      <w:tr w:rsidR="006A4296" w:rsidRPr="00643CBB" w:rsidTr="008C1A95">
        <w:tc>
          <w:tcPr>
            <w:tcW w:w="2726" w:type="dxa"/>
          </w:tcPr>
          <w:p w:rsidR="006A4296" w:rsidRPr="00643CBB" w:rsidRDefault="006A4296" w:rsidP="008C1A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BB"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</w:tcPr>
          <w:p w:rsidR="006A4296" w:rsidRPr="00643CBB" w:rsidRDefault="006A4296" w:rsidP="008C1A95">
            <w:pPr>
              <w:rPr>
                <w:rFonts w:ascii="Times New Roman" w:hAnsi="Times New Roman"/>
                <w:sz w:val="24"/>
                <w:szCs w:val="24"/>
              </w:rPr>
            </w:pPr>
            <w:r w:rsidRPr="00643CBB"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A4296" w:rsidRPr="00D66B1D" w:rsidRDefault="006A4296" w:rsidP="006A4296">
      <w:pPr>
        <w:ind w:left="142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7C7F59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11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7C7F59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7C7F59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7C7F59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92215C" w:rsidRDefault="0092215C" w:rsidP="00CF4D55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3B329D" w:rsidRPr="006B5A4F" w:rsidRDefault="003B329D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t>_____________________________________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92215C" w:rsidRDefault="0092215C" w:rsidP="0092215C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Pr="006E19B3">
        <w:rPr>
          <w:rFonts w:ascii="Times New Roman" w:hAnsi="Times New Roman"/>
          <w:sz w:val="28"/>
          <w:szCs w:val="28"/>
          <w:lang w:eastAsia="ar-SA"/>
        </w:rPr>
        <w:t xml:space="preserve">Учебная и научная литература, учебно-методические материалы, представленные в библиотечном фонде, в </w:t>
      </w:r>
      <w:proofErr w:type="gramStart"/>
      <w:r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6F6C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 xml:space="preserve">ФГОС с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 xml:space="preserve">ОП </w:t>
      </w:r>
      <w:proofErr w:type="gramStart"/>
      <w:r w:rsidR="008A1177">
        <w:rPr>
          <w:rFonts w:ascii="Times New Roman" w:hAnsi="Times New Roman"/>
          <w:sz w:val="28"/>
          <w:szCs w:val="24"/>
        </w:rPr>
        <w:t>В</w:t>
      </w:r>
      <w:r w:rsidRPr="003078C1"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направлению </w:t>
      </w:r>
      <w:r w:rsidRPr="006E19B3">
        <w:rPr>
          <w:rFonts w:ascii="Times New Roman" w:hAnsi="Times New Roman"/>
          <w:sz w:val="28"/>
          <w:szCs w:val="24"/>
        </w:rPr>
        <w:t>01030</w:t>
      </w:r>
      <w:r w:rsidR="002F2C22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2F2C22">
        <w:rPr>
          <w:rFonts w:ascii="Times New Roman" w:hAnsi="Times New Roman"/>
          <w:sz w:val="28"/>
          <w:szCs w:val="24"/>
        </w:rPr>
        <w:t>Механика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6F6C8E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6F6C8E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B" w:rsidRDefault="0093067B">
      <w:r>
        <w:separator/>
      </w:r>
    </w:p>
  </w:endnote>
  <w:endnote w:type="continuationSeparator" w:id="0">
    <w:p w:rsidR="0093067B" w:rsidRDefault="0093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84751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84751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5F51">
      <w:rPr>
        <w:rStyle w:val="a9"/>
        <w:noProof/>
      </w:rPr>
      <w:t>4</w:t>
    </w:r>
    <w:r>
      <w:rPr>
        <w:rStyle w:val="a9"/>
      </w:rPr>
      <w:fldChar w:fldCharType="end"/>
    </w:r>
  </w:p>
  <w:p w:rsidR="007B1CD2" w:rsidRDefault="007B1CD2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B" w:rsidRDefault="0093067B">
      <w:r>
        <w:separator/>
      </w:r>
    </w:p>
  </w:footnote>
  <w:footnote w:type="continuationSeparator" w:id="0">
    <w:p w:rsidR="0093067B" w:rsidRDefault="0093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2" w:rsidRDefault="007B1CD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41634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3C9A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05B"/>
    <w:rsid w:val="00103934"/>
    <w:rsid w:val="00103D26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37F3F"/>
    <w:rsid w:val="00141489"/>
    <w:rsid w:val="001453C3"/>
    <w:rsid w:val="00145A86"/>
    <w:rsid w:val="00146E54"/>
    <w:rsid w:val="001501DE"/>
    <w:rsid w:val="001529EA"/>
    <w:rsid w:val="00152B03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5026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36F8"/>
    <w:rsid w:val="0023068E"/>
    <w:rsid w:val="00236713"/>
    <w:rsid w:val="00244C0B"/>
    <w:rsid w:val="00245E1D"/>
    <w:rsid w:val="00250383"/>
    <w:rsid w:val="00252494"/>
    <w:rsid w:val="002558B2"/>
    <w:rsid w:val="00261633"/>
    <w:rsid w:val="002619C1"/>
    <w:rsid w:val="00263048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2C22"/>
    <w:rsid w:val="002F2D91"/>
    <w:rsid w:val="002F3E95"/>
    <w:rsid w:val="002F4890"/>
    <w:rsid w:val="002F7A31"/>
    <w:rsid w:val="00300F97"/>
    <w:rsid w:val="003027E6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132C"/>
    <w:rsid w:val="00366A56"/>
    <w:rsid w:val="00367563"/>
    <w:rsid w:val="0037035B"/>
    <w:rsid w:val="003706A8"/>
    <w:rsid w:val="00371FDE"/>
    <w:rsid w:val="003823E9"/>
    <w:rsid w:val="00382695"/>
    <w:rsid w:val="0038481A"/>
    <w:rsid w:val="0038490F"/>
    <w:rsid w:val="00390172"/>
    <w:rsid w:val="003913DB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1477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17AD3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0DC2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4742"/>
    <w:rsid w:val="00497387"/>
    <w:rsid w:val="00497C12"/>
    <w:rsid w:val="00497D89"/>
    <w:rsid w:val="004A0B1F"/>
    <w:rsid w:val="004A0BED"/>
    <w:rsid w:val="004A289A"/>
    <w:rsid w:val="004A5034"/>
    <w:rsid w:val="004A65F5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2EB"/>
    <w:rsid w:val="004E5396"/>
    <w:rsid w:val="004E5B0E"/>
    <w:rsid w:val="004F0415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17808"/>
    <w:rsid w:val="0052362E"/>
    <w:rsid w:val="00523A2F"/>
    <w:rsid w:val="00527CAE"/>
    <w:rsid w:val="00534AA3"/>
    <w:rsid w:val="0053517F"/>
    <w:rsid w:val="00535E47"/>
    <w:rsid w:val="00536FC3"/>
    <w:rsid w:val="00537BEA"/>
    <w:rsid w:val="00541257"/>
    <w:rsid w:val="00541C30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314F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6C7"/>
    <w:rsid w:val="006A081A"/>
    <w:rsid w:val="006A0BFB"/>
    <w:rsid w:val="006A18ED"/>
    <w:rsid w:val="006A4296"/>
    <w:rsid w:val="006B23A1"/>
    <w:rsid w:val="006B2907"/>
    <w:rsid w:val="006B341B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650"/>
    <w:rsid w:val="006F6C8E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5FD9"/>
    <w:rsid w:val="007376DB"/>
    <w:rsid w:val="00740EC3"/>
    <w:rsid w:val="00742894"/>
    <w:rsid w:val="00744F24"/>
    <w:rsid w:val="0075527A"/>
    <w:rsid w:val="00755F78"/>
    <w:rsid w:val="00761012"/>
    <w:rsid w:val="007620B7"/>
    <w:rsid w:val="007624A1"/>
    <w:rsid w:val="007630E7"/>
    <w:rsid w:val="00763F23"/>
    <w:rsid w:val="00764DE2"/>
    <w:rsid w:val="0076502C"/>
    <w:rsid w:val="00775F51"/>
    <w:rsid w:val="00780AFC"/>
    <w:rsid w:val="007859AE"/>
    <w:rsid w:val="0078795E"/>
    <w:rsid w:val="00794809"/>
    <w:rsid w:val="007A0091"/>
    <w:rsid w:val="007A6542"/>
    <w:rsid w:val="007B037A"/>
    <w:rsid w:val="007B132D"/>
    <w:rsid w:val="007B1CD2"/>
    <w:rsid w:val="007B2A7E"/>
    <w:rsid w:val="007B723F"/>
    <w:rsid w:val="007C0225"/>
    <w:rsid w:val="007C060A"/>
    <w:rsid w:val="007C62D2"/>
    <w:rsid w:val="007C7ABC"/>
    <w:rsid w:val="007C7F59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159A9"/>
    <w:rsid w:val="00823287"/>
    <w:rsid w:val="00831607"/>
    <w:rsid w:val="00833902"/>
    <w:rsid w:val="00835A2A"/>
    <w:rsid w:val="008412D9"/>
    <w:rsid w:val="00842545"/>
    <w:rsid w:val="00843DD6"/>
    <w:rsid w:val="008455E5"/>
    <w:rsid w:val="00847519"/>
    <w:rsid w:val="00850221"/>
    <w:rsid w:val="0085094B"/>
    <w:rsid w:val="00852D99"/>
    <w:rsid w:val="00854F42"/>
    <w:rsid w:val="008572D2"/>
    <w:rsid w:val="00863FD9"/>
    <w:rsid w:val="00867FFB"/>
    <w:rsid w:val="008702AA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1A95"/>
    <w:rsid w:val="008C37EB"/>
    <w:rsid w:val="008D2B94"/>
    <w:rsid w:val="008D3B4E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215C"/>
    <w:rsid w:val="00924272"/>
    <w:rsid w:val="00924D44"/>
    <w:rsid w:val="00925114"/>
    <w:rsid w:val="009257F7"/>
    <w:rsid w:val="0093067B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B5B"/>
    <w:rsid w:val="00982E74"/>
    <w:rsid w:val="00983153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2DD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5ED8"/>
    <w:rsid w:val="00A866A7"/>
    <w:rsid w:val="00A90A38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4032"/>
    <w:rsid w:val="00AD56D7"/>
    <w:rsid w:val="00AD5C1E"/>
    <w:rsid w:val="00AD7C55"/>
    <w:rsid w:val="00AE1C15"/>
    <w:rsid w:val="00AE6E76"/>
    <w:rsid w:val="00AF2ED0"/>
    <w:rsid w:val="00AF4E4E"/>
    <w:rsid w:val="00AF69FA"/>
    <w:rsid w:val="00B048E2"/>
    <w:rsid w:val="00B1066B"/>
    <w:rsid w:val="00B16B52"/>
    <w:rsid w:val="00B17DA8"/>
    <w:rsid w:val="00B20735"/>
    <w:rsid w:val="00B2090A"/>
    <w:rsid w:val="00B24B08"/>
    <w:rsid w:val="00B27468"/>
    <w:rsid w:val="00B27EF6"/>
    <w:rsid w:val="00B300B8"/>
    <w:rsid w:val="00B316B3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5ED6"/>
    <w:rsid w:val="00C66420"/>
    <w:rsid w:val="00C738DE"/>
    <w:rsid w:val="00C74205"/>
    <w:rsid w:val="00C77E2E"/>
    <w:rsid w:val="00C77FC8"/>
    <w:rsid w:val="00C81395"/>
    <w:rsid w:val="00C81CF1"/>
    <w:rsid w:val="00C83C53"/>
    <w:rsid w:val="00C84E79"/>
    <w:rsid w:val="00C90D7F"/>
    <w:rsid w:val="00C964DF"/>
    <w:rsid w:val="00C966A1"/>
    <w:rsid w:val="00C970A5"/>
    <w:rsid w:val="00C9753C"/>
    <w:rsid w:val="00CB3FF2"/>
    <w:rsid w:val="00CB4173"/>
    <w:rsid w:val="00CB5488"/>
    <w:rsid w:val="00CB6AF0"/>
    <w:rsid w:val="00CB7899"/>
    <w:rsid w:val="00CC0FEF"/>
    <w:rsid w:val="00CC193D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040D"/>
    <w:rsid w:val="00CF1D76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3F3B"/>
    <w:rsid w:val="00D442AC"/>
    <w:rsid w:val="00D449CF"/>
    <w:rsid w:val="00D509CC"/>
    <w:rsid w:val="00D518B9"/>
    <w:rsid w:val="00D5404F"/>
    <w:rsid w:val="00D544E2"/>
    <w:rsid w:val="00D56F82"/>
    <w:rsid w:val="00D605C3"/>
    <w:rsid w:val="00D607C7"/>
    <w:rsid w:val="00D74438"/>
    <w:rsid w:val="00D761FB"/>
    <w:rsid w:val="00D77BB9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050F7"/>
    <w:rsid w:val="00E11824"/>
    <w:rsid w:val="00E123BF"/>
    <w:rsid w:val="00E142C8"/>
    <w:rsid w:val="00E16136"/>
    <w:rsid w:val="00E165B5"/>
    <w:rsid w:val="00E16A50"/>
    <w:rsid w:val="00E20FA9"/>
    <w:rsid w:val="00E22701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097F"/>
    <w:rsid w:val="00E70E32"/>
    <w:rsid w:val="00E73DEB"/>
    <w:rsid w:val="00E73F19"/>
    <w:rsid w:val="00E77ED6"/>
    <w:rsid w:val="00E812FD"/>
    <w:rsid w:val="00E816B6"/>
    <w:rsid w:val="00E82450"/>
    <w:rsid w:val="00E82CF6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07FF"/>
    <w:rsid w:val="00F01B2E"/>
    <w:rsid w:val="00F03D8B"/>
    <w:rsid w:val="00F03FFD"/>
    <w:rsid w:val="00F056F1"/>
    <w:rsid w:val="00F0664A"/>
    <w:rsid w:val="00F16AA6"/>
    <w:rsid w:val="00F20D10"/>
    <w:rsid w:val="00F2285E"/>
    <w:rsid w:val="00F26347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5F19"/>
    <w:rsid w:val="00FB6C5F"/>
    <w:rsid w:val="00FB7925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40D9-1D29-4E1B-BBE7-070BF9E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15426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user</cp:lastModifiedBy>
  <cp:revision>188</cp:revision>
  <cp:lastPrinted>2016-08-31T10:46:00Z</cp:lastPrinted>
  <dcterms:created xsi:type="dcterms:W3CDTF">2016-10-28T10:03:00Z</dcterms:created>
  <dcterms:modified xsi:type="dcterms:W3CDTF">2018-05-17T08:45:00Z</dcterms:modified>
</cp:coreProperties>
</file>