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57744" w:rsidTr="00257744">
        <w:trPr>
          <w:trHeight w:val="280"/>
        </w:trPr>
        <w:tc>
          <w:tcPr>
            <w:tcW w:w="4783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257744" w:rsidRDefault="00257744" w:rsidP="00257744">
      <w:pPr>
        <w:rPr>
          <w:rFonts w:ascii="Calibri" w:eastAsia="Times New Roman" w:hAnsi="Calibri"/>
          <w:b/>
          <w:lang w:eastAsia="ru-RU"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257744" w:rsidTr="00257744">
        <w:trPr>
          <w:trHeight w:val="280"/>
        </w:trPr>
        <w:tc>
          <w:tcPr>
            <w:tcW w:w="2106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7744" w:rsidRDefault="00257744" w:rsidP="00257744">
      <w:pPr>
        <w:jc w:val="center"/>
        <w:rPr>
          <w:rFonts w:ascii="Calibri" w:eastAsia="Times New Roman" w:hAnsi="Calibri"/>
          <w:lang w:eastAsia="ru-RU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57744" w:rsidTr="00257744">
        <w:trPr>
          <w:trHeight w:val="280"/>
        </w:trPr>
        <w:tc>
          <w:tcPr>
            <w:tcW w:w="236" w:type="dxa"/>
            <w:vAlign w:val="center"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8B6CC7">
      <w:pPr>
        <w:tabs>
          <w:tab w:val="left" w:pos="5670"/>
        </w:tabs>
        <w:ind w:left="5670" w:hanging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B6CC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B6CC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570680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(преддипломной)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Pr="00641423" w:rsidRDefault="00257744" w:rsidP="0025774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641423">
        <w:rPr>
          <w:rFonts w:ascii="Times New Roman" w:hAnsi="Times New Roman"/>
          <w:sz w:val="28"/>
          <w:szCs w:val="28"/>
          <w:lang w:val="en-US"/>
        </w:rPr>
        <w:t>6</w:t>
      </w:r>
      <w:bookmarkStart w:id="0" w:name="_GoBack"/>
      <w:bookmarkEnd w:id="0"/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8B6CC7">
        <w:rPr>
          <w:rFonts w:ascii="Times New Roman" w:hAnsi="Times New Roman" w:cs="Times New Roman"/>
          <w:sz w:val="28"/>
          <w:szCs w:val="28"/>
        </w:rPr>
        <w:t>д.ю.н., профессор Петрова Г.О.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8B6CC7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253982">
        <w:rPr>
          <w:rFonts w:ascii="Times New Roman" w:hAnsi="Times New Roman" w:cs="Times New Roman"/>
          <w:sz w:val="28"/>
          <w:szCs w:val="28"/>
        </w:rPr>
        <w:t>2017 года,</w:t>
      </w:r>
      <w:r w:rsidRPr="00253982">
        <w:rPr>
          <w:rFonts w:ascii="Times New Roman" w:hAnsi="Times New Roman" w:cs="Times New Roman"/>
        </w:rPr>
        <w:t xml:space="preserve"> </w:t>
      </w:r>
      <w:r w:rsidRPr="00253982">
        <w:rPr>
          <w:rFonts w:ascii="Times New Roman" w:hAnsi="Times New Roman" w:cs="Times New Roman"/>
          <w:sz w:val="28"/>
          <w:szCs w:val="28"/>
        </w:rPr>
        <w:t>протокол №</w:t>
      </w:r>
      <w:r w:rsidR="008B6CC7">
        <w:rPr>
          <w:rFonts w:ascii="Times New Roman" w:hAnsi="Times New Roman" w:cs="Times New Roman"/>
          <w:sz w:val="28"/>
          <w:szCs w:val="28"/>
        </w:rPr>
        <w:t xml:space="preserve"> 1</w:t>
      </w:r>
      <w:r w:rsidRPr="00253982">
        <w:rPr>
          <w:rFonts w:ascii="Times New Roman" w:hAnsi="Times New Roman" w:cs="Times New Roman"/>
          <w:sz w:val="28"/>
          <w:szCs w:val="28"/>
        </w:rPr>
        <w:t>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8B6CC7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_______________2017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9212E4" w:rsidRPr="009212E4">
        <w:rPr>
          <w:rFonts w:ascii="Times New Roman" w:hAnsi="Times New Roman" w:cs="Times New Roman"/>
          <w:b/>
          <w:sz w:val="28"/>
          <w:szCs w:val="28"/>
        </w:rPr>
        <w:t>(</w:t>
      </w:r>
      <w:r w:rsidR="009212E4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570680">
        <w:rPr>
          <w:rFonts w:ascii="Times New Roman" w:hAnsi="Times New Roman" w:cs="Times New Roman"/>
          <w:b/>
          <w:sz w:val="28"/>
          <w:szCs w:val="28"/>
        </w:rPr>
        <w:t>)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9212E4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4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</w:t>
      </w:r>
      <w:r w:rsidR="00570680">
        <w:rPr>
          <w:rFonts w:ascii="Times New Roman" w:hAnsi="Times New Roman" w:cs="Times New Roman"/>
          <w:sz w:val="28"/>
          <w:szCs w:val="28"/>
        </w:rPr>
        <w:t>-</w:t>
      </w:r>
      <w:r w:rsidRPr="009212E4">
        <w:rPr>
          <w:rFonts w:ascii="Times New Roman" w:hAnsi="Times New Roman" w:cs="Times New Roman"/>
          <w:sz w:val="28"/>
          <w:szCs w:val="28"/>
        </w:rPr>
        <w:t xml:space="preserve">правовых форм. 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570680">
        <w:rPr>
          <w:rFonts w:ascii="Times New Roman" w:hAnsi="Times New Roman" w:cs="Times New Roman"/>
          <w:sz w:val="28"/>
          <w:szCs w:val="28"/>
        </w:rPr>
        <w:t>(преддипломная)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 w:rsidR="00C32E59"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570680"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Pr="00DC627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57068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  <w:r w:rsidR="00570680">
        <w:rPr>
          <w:rFonts w:ascii="Times New Roman" w:hAnsi="Times New Roman" w:cs="Times New Roman"/>
          <w:sz w:val="28"/>
          <w:szCs w:val="28"/>
        </w:rPr>
        <w:t>, организационно-управленческая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 w:rsidR="008B6CC7" w:rsidRPr="008B6CC7">
        <w:rPr>
          <w:rFonts w:ascii="Times New Roman" w:hAnsi="Times New Roman" w:cs="Times New Roman"/>
          <w:sz w:val="28"/>
          <w:szCs w:val="28"/>
        </w:rPr>
        <w:t>общими и</w:t>
      </w:r>
      <w:r w:rsidR="008B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2. Понимать и анализировать вопросы ценностно-мотивационной ориентации.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8B6CC7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1.3. Осуществлять реализацию норм материального и процессуального 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Pr="00956251" w:rsidRDefault="00570680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2.1</w:t>
      </w:r>
      <w:r w:rsidR="00956251" w:rsidRPr="00956251">
        <w:rPr>
          <w:rFonts w:ascii="Times New Roman" w:hAnsi="Times New Roman" w:cs="Times New Roman"/>
          <w:sz w:val="28"/>
          <w:szCs w:val="28"/>
        </w:rPr>
        <w:t>.</w:t>
      </w:r>
      <w:r w:rsidRPr="00956251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организационно-управленческие функции в рамках малых групп, как в условиях повседневной служебной </w:t>
      </w:r>
      <w:r w:rsidR="00956251" w:rsidRPr="00956251">
        <w:rPr>
          <w:rFonts w:ascii="Times New Roman" w:hAnsi="Times New Roman" w:cs="Times New Roman"/>
          <w:sz w:val="28"/>
          <w:szCs w:val="28"/>
        </w:rPr>
        <w:t>деятельности, так и в нестандартных условиях, экстремальных ситуациях.</w:t>
      </w:r>
    </w:p>
    <w:p w:rsid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2.2. Осуществлять документационное обеспечение управленческой деятельности.</w:t>
      </w:r>
    </w:p>
    <w:p w:rsidR="00956251" w:rsidRP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9562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956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</w:t>
            </w:r>
            <w:r w:rsidR="00956251">
              <w:rPr>
                <w:rFonts w:ascii="Times New Roman" w:hAnsi="Times New Roman" w:cs="Times New Roman"/>
                <w:sz w:val="28"/>
                <w:szCs w:val="28"/>
              </w:rPr>
              <w:t>реддипломная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6251" w:rsidRDefault="00956251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>(п</w:t>
      </w:r>
      <w:r w:rsidR="00956251">
        <w:rPr>
          <w:rFonts w:ascii="Times New Roman" w:hAnsi="Times New Roman" w:cs="Times New Roman"/>
          <w:sz w:val="28"/>
          <w:szCs w:val="28"/>
        </w:rPr>
        <w:t>реддипломной</w:t>
      </w:r>
      <w:r w:rsidR="007F21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</w:t>
      </w:r>
      <w:r w:rsidR="00B201DE">
        <w:rPr>
          <w:rFonts w:ascii="Times New Roman" w:hAnsi="Times New Roman" w:cs="Times New Roman"/>
          <w:sz w:val="28"/>
          <w:szCs w:val="28"/>
        </w:rPr>
        <w:t>5</w:t>
      </w:r>
      <w:r w:rsidR="00956251">
        <w:rPr>
          <w:rFonts w:ascii="Times New Roman" w:hAnsi="Times New Roman" w:cs="Times New Roman"/>
          <w:sz w:val="28"/>
          <w:szCs w:val="28"/>
        </w:rPr>
        <w:t xml:space="preserve"> </w:t>
      </w:r>
      <w:r w:rsidR="00FC2095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956251">
        <w:rPr>
          <w:rFonts w:ascii="Times New Roman" w:hAnsi="Times New Roman" w:cs="Times New Roman"/>
          <w:sz w:val="28"/>
          <w:szCs w:val="28"/>
        </w:rPr>
        <w:t>3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56251">
        <w:rPr>
          <w:rFonts w:ascii="Times New Roman" w:hAnsi="Times New Roman" w:cs="Times New Roman"/>
          <w:sz w:val="28"/>
          <w:szCs w:val="28"/>
        </w:rPr>
        <w:t>производственной (преддипломной)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CC7">
        <w:rPr>
          <w:rFonts w:ascii="Times New Roman" w:hAnsi="Times New Roman" w:cs="Times New Roman"/>
          <w:sz w:val="28"/>
          <w:szCs w:val="28"/>
        </w:rPr>
        <w:t>закрепление общих (ОК) и</w:t>
      </w:r>
      <w:r w:rsidR="000B523B">
        <w:rPr>
          <w:rFonts w:ascii="Times New Roman" w:hAnsi="Times New Roman" w:cs="Times New Roman"/>
          <w:sz w:val="28"/>
          <w:szCs w:val="28"/>
        </w:rPr>
        <w:t xml:space="preserve">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932" w:type="dxa"/>
          </w:tcPr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 различными категориями граждан и представителями различных национальностей и конфессий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правовых знаний;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932" w:type="dxa"/>
          </w:tcPr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8B6CC7" w:rsidRPr="0066078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>
              <w:rPr>
                <w:b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 применения мер административного пресечения правонарушений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Pr="00257024">
              <w:rPr>
                <w:b/>
                <w:i/>
              </w:rPr>
              <w:t>нать</w:t>
            </w:r>
            <w:r>
              <w:rPr>
                <w:i/>
              </w:rPr>
              <w:t xml:space="preserve">: </w:t>
            </w:r>
            <w:r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8B6CC7" w:rsidRPr="00257024" w:rsidRDefault="008B6CC7" w:rsidP="008B6CC7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8B6CC7" w:rsidRPr="00257024" w:rsidRDefault="008B6CC7" w:rsidP="008B6CC7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>
              <w:rPr>
                <w:b/>
                <w:i/>
              </w:rPr>
              <w:t xml:space="preserve"> </w:t>
            </w:r>
            <w:r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>
              <w:rPr>
                <w:b/>
                <w:i/>
              </w:rPr>
              <w:t xml:space="preserve"> </w:t>
            </w:r>
            <w:r w:rsidRPr="00257024">
              <w:rPr>
                <w:i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Pr="003C3257">
              <w:rPr>
                <w:sz w:val="20"/>
                <w:szCs w:val="20"/>
              </w:rPr>
              <w:t xml:space="preserve"> защиты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05C1F">
              <w:rPr>
                <w:b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по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 методы взаимодействия с сотрудниками правоохранительных органов, органов местного самоуправления, гражданами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организационно-управленческие функции в рамках малых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201DE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85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692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844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85" w:type="dxa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92" w:type="dxa"/>
            <w:vMerge w:val="restart"/>
          </w:tcPr>
          <w:p w:rsidR="00B201DE" w:rsidRPr="00BB544F" w:rsidRDefault="00B201DE" w:rsidP="00B2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недели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44" w:type="dxa"/>
            <w:vMerge w:val="restart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5" w:type="dxa"/>
          </w:tcPr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552"/>
        <w:gridCol w:w="1224"/>
      </w:tblGrid>
      <w:tr w:rsidR="004851B4" w:rsidTr="00B201DE">
        <w:tc>
          <w:tcPr>
            <w:tcW w:w="1986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2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224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DE5E60">
        <w:trPr>
          <w:trHeight w:val="1124"/>
        </w:trPr>
        <w:tc>
          <w:tcPr>
            <w:tcW w:w="1986" w:type="dxa"/>
          </w:tcPr>
          <w:p w:rsidR="00004E28" w:rsidRPr="004851B4" w:rsidRDefault="00B201DE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409" w:type="dxa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 xml:space="preserve">еализовывать в профессиональной   деятельности нормы основ управления в правоохранительных органах;    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объявления о приеме на работу, осуществлять подготовку резюме, составлять и заполнять анкеты о приеме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проводить тестирование и собеседование при найме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и оформлять материалы для профессиональной подготовки персонала в правоохранительные органы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определять виды, типы и формы информации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уровень социальной защиты сотрудников правоохранительных органов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заполнять нормативные акты об установлении режима ЧП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и оформлять правовую базу управления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основные нормативно-правовые акты МВД России по вопросам управления органов внутренних дел и внутренних войск в особых условиях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деятельность правоохранительных органов во время проведения различных мероприятий</w:t>
            </w:r>
          </w:p>
          <w:p w:rsidR="00004E28" w:rsidRDefault="00DE5E60" w:rsidP="00DE5E60">
            <w:pPr>
              <w:pStyle w:val="a6"/>
              <w:jc w:val="both"/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</w:t>
            </w:r>
          </w:p>
        </w:tc>
        <w:tc>
          <w:tcPr>
            <w:tcW w:w="2552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МДК 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Основы управления в правоохранительных органах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Тема 1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. Предмет, система и нормативные источники курса «Основы управления в правоохранительных органах РФ.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2.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Основы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Тема 3.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4.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5. Административно-правовая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6. Социально-психологическая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7. Документальная 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8. Культура руководителей правоохранительных органов.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9. Закономерности, принципы и проблемы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10.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Управление правоохранительными органами в особых и чрезвычайных ситуациях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004E28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11.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Административно-управленческая деятельность в правоохранительных органах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4E28" w:rsidRPr="000D14DA" w:rsidRDefault="00004E28" w:rsidP="00E54A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Практика завершается </w:t>
      </w:r>
      <w:r w:rsidR="00146CE8">
        <w:rPr>
          <w:rFonts w:ascii="Times New Roman" w:hAnsi="Times New Roman" w:cs="Times New Roman"/>
          <w:sz w:val="28"/>
          <w:szCs w:val="28"/>
        </w:rPr>
        <w:t xml:space="preserve">дифференцированным </w:t>
      </w:r>
      <w:r>
        <w:rPr>
          <w:rFonts w:ascii="Times New Roman" w:hAnsi="Times New Roman" w:cs="Times New Roman"/>
          <w:sz w:val="28"/>
          <w:szCs w:val="28"/>
        </w:rPr>
        <w:t xml:space="preserve">зачетом по </w:t>
      </w:r>
      <w:r w:rsidR="00146CE8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>
        <w:rPr>
          <w:rFonts w:ascii="Times New Roman" w:hAnsi="Times New Roman" w:cs="Times New Roman"/>
          <w:sz w:val="28"/>
          <w:szCs w:val="28"/>
        </w:rPr>
        <w:t>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конституционный закон от 30.05.2001 N 3-ФКЗ (ред. от 07.03.2005)»О чрезвычайном положении»//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12.02.1998 N 28-ФЗ (ред. от 23.12.2010)»О гражданской обороне»//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06.02.1997 N 27-ФЗ (ред. от 05.04.2011) «О внутренних войсках Министерства внутренних дел Российской Федерации»//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Федеральный закон от 06.03.2006 N 35-ФЗ (ред. от 08.11.2011) «О противодействии терроризму» 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21.12.1994 N 68-ФЗ (ред. от 01.04.2012) «О защите населения и территорий от чрезвычайных ситуаций природного и техногенного характера»//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б) Дополнительная литература</w:t>
      </w:r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12.08.1995 N 144-ФЗ (ред. от 29.11.2012) «Об оперативно-розыскной деятельности»//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07.02.2011 N 3-ФЗ (ред. от 03.12.2012) «О полиции»//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Указ Президента РФ от 12.05.2009 N 537»О Стратегии национальной безопасности Российской Федерации до 2020 года»//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 мерах по борьбе с терроризмом на территории Северо-Кавказского региона Российской Федерации : указ Президента России от 22 янв. 2001 г. № 61 // Рос. газ.- 2001.- № 14 ; То же : с изм. от 2 авг.2006 г. // Там же.- 2006.- № 832.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Вопросы Министерства внутренних дел РФ : указ Президента России от 19 июля 2004 г. № 927 //Собр. законодательства Рос. Федерации.- 2004.- № 30.- Ст. 3149 ; То же : в ред. от 20 сент.2006 г. // 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нояб. 1992 г. «О силах и средствах Единой государственной системы предупреждения и ликвидации чрезвычайных ситуаций : постановление Правительства Рос. Федерации от 3 авг. 1996 г. № 924 // Собр. законодательства Рос. Федерации.- 1996.- № 33.- Ст. 3998.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 : постановление Правительства Российской Федерации от 22 июня 1999 г. № 660 // Там же.- 1999.- № 27.- Ст. 3363.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сборника сокращенных обозначений и условных знаков : приказ МВД России от 26 февр. 1996 г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Временного наставления по работе оперативных штабов органов внутренних дел : приказ МВД России от 28 февр. 1997 г.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E8"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lastRenderedPageBreak/>
        <w:t xml:space="preserve">ЭБС Университетская библиотека online  </w:t>
      </w:r>
      <w:hyperlink r:id="rId2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www.biblioclub.ru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ЭБС Лань </w:t>
      </w:r>
      <w:hyperlink r:id="rId2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Электронная библиотека диссертаций РГБ — российские диссертации с </w:t>
      </w:r>
      <w:smartTag w:uri="urn:schemas-microsoft-com:office:smarttags" w:element="metricconverter">
        <w:smartTagPr>
          <w:attr w:name="ProductID" w:val="1997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экономике, праву, педагогике, психологии, с начала </w:t>
      </w:r>
      <w:smartTag w:uri="urn:schemas-microsoft-com:office:smarttags" w:element="metricconverter">
        <w:smartTagPr>
          <w:attr w:name="ProductID" w:val="2004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всем специальностям. Учетная запись – в ЛИТО ФБ (к.131-1, 131-2). </w:t>
      </w:r>
      <w:hyperlink r:id="rId2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B72540" w:rsidRPr="00146CE8" w:rsidRDefault="00B72540" w:rsidP="00146C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BD0428">
        <w:rPr>
          <w:rFonts w:ascii="Times New Roman" w:hAnsi="Times New Roman" w:cs="Times New Roman"/>
          <w:sz w:val="28"/>
          <w:szCs w:val="28"/>
        </w:rPr>
        <w:t>(преддипломная)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наличия положительной характеристики на обучающегося по освоению общих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AB" w:rsidRDefault="00A548AB" w:rsidP="00326AAF">
      <w:pPr>
        <w:spacing w:after="0" w:line="240" w:lineRule="auto"/>
      </w:pPr>
      <w:r>
        <w:separator/>
      </w:r>
    </w:p>
  </w:endnote>
  <w:endnote w:type="continuationSeparator" w:id="0">
    <w:p w:rsidR="00A548AB" w:rsidRDefault="00A548AB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AB" w:rsidRDefault="00A548AB" w:rsidP="00326AAF">
      <w:pPr>
        <w:spacing w:after="0" w:line="240" w:lineRule="auto"/>
      </w:pPr>
      <w:r>
        <w:separator/>
      </w:r>
    </w:p>
  </w:footnote>
  <w:footnote w:type="continuationSeparator" w:id="0">
    <w:p w:rsidR="00A548AB" w:rsidRDefault="00A548AB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12C19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46CE8"/>
    <w:rsid w:val="00164B88"/>
    <w:rsid w:val="00176A90"/>
    <w:rsid w:val="001831A1"/>
    <w:rsid w:val="001849C7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024"/>
    <w:rsid w:val="00257744"/>
    <w:rsid w:val="00277239"/>
    <w:rsid w:val="002A644B"/>
    <w:rsid w:val="002B4669"/>
    <w:rsid w:val="002F2640"/>
    <w:rsid w:val="00310C60"/>
    <w:rsid w:val="0031577C"/>
    <w:rsid w:val="00326AAF"/>
    <w:rsid w:val="00330E3C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E09A6"/>
    <w:rsid w:val="003E2B6D"/>
    <w:rsid w:val="003F55F3"/>
    <w:rsid w:val="0040097C"/>
    <w:rsid w:val="004128D8"/>
    <w:rsid w:val="00430217"/>
    <w:rsid w:val="00450895"/>
    <w:rsid w:val="00451AA8"/>
    <w:rsid w:val="00484E0B"/>
    <w:rsid w:val="004851B4"/>
    <w:rsid w:val="00492BB8"/>
    <w:rsid w:val="004978FF"/>
    <w:rsid w:val="004E3E8F"/>
    <w:rsid w:val="004E42B1"/>
    <w:rsid w:val="004E5653"/>
    <w:rsid w:val="0052006A"/>
    <w:rsid w:val="0053555F"/>
    <w:rsid w:val="0053567F"/>
    <w:rsid w:val="00570680"/>
    <w:rsid w:val="00582744"/>
    <w:rsid w:val="005B009B"/>
    <w:rsid w:val="005C339D"/>
    <w:rsid w:val="005E3295"/>
    <w:rsid w:val="005F784B"/>
    <w:rsid w:val="005F7992"/>
    <w:rsid w:val="00601942"/>
    <w:rsid w:val="006038B1"/>
    <w:rsid w:val="00641423"/>
    <w:rsid w:val="00656D39"/>
    <w:rsid w:val="0066078F"/>
    <w:rsid w:val="006D26BC"/>
    <w:rsid w:val="006D2E37"/>
    <w:rsid w:val="006F6855"/>
    <w:rsid w:val="00707E0D"/>
    <w:rsid w:val="00713BD1"/>
    <w:rsid w:val="00766193"/>
    <w:rsid w:val="00784B9C"/>
    <w:rsid w:val="00790547"/>
    <w:rsid w:val="007A5BFF"/>
    <w:rsid w:val="007C1140"/>
    <w:rsid w:val="007F2138"/>
    <w:rsid w:val="00891455"/>
    <w:rsid w:val="00891EA6"/>
    <w:rsid w:val="008964D3"/>
    <w:rsid w:val="008A4712"/>
    <w:rsid w:val="008A6AAD"/>
    <w:rsid w:val="008B6CC7"/>
    <w:rsid w:val="008E7114"/>
    <w:rsid w:val="008F7F7C"/>
    <w:rsid w:val="00900FCF"/>
    <w:rsid w:val="009212E4"/>
    <w:rsid w:val="00922280"/>
    <w:rsid w:val="0095229D"/>
    <w:rsid w:val="00956251"/>
    <w:rsid w:val="009A5675"/>
    <w:rsid w:val="009C63A4"/>
    <w:rsid w:val="00A039D1"/>
    <w:rsid w:val="00A500EB"/>
    <w:rsid w:val="00A548AB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201DE"/>
    <w:rsid w:val="00B606BA"/>
    <w:rsid w:val="00B72540"/>
    <w:rsid w:val="00B800EF"/>
    <w:rsid w:val="00B81998"/>
    <w:rsid w:val="00BB544F"/>
    <w:rsid w:val="00BD0428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97B74"/>
    <w:rsid w:val="00CA7A1C"/>
    <w:rsid w:val="00CC11DC"/>
    <w:rsid w:val="00CF796C"/>
    <w:rsid w:val="00D24609"/>
    <w:rsid w:val="00D25C66"/>
    <w:rsid w:val="00D51EED"/>
    <w:rsid w:val="00D66521"/>
    <w:rsid w:val="00D813CB"/>
    <w:rsid w:val="00DB3E3B"/>
    <w:rsid w:val="00DB43C8"/>
    <w:rsid w:val="00DB5E12"/>
    <w:rsid w:val="00DC3DB7"/>
    <w:rsid w:val="00DC6272"/>
    <w:rsid w:val="00DE3257"/>
    <w:rsid w:val="00DE5E60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e.lanbook.com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biblioclu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2C7E-17BC-4835-ACA0-36F50FE4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12</cp:revision>
  <cp:lastPrinted>2017-03-27T07:03:00Z</cp:lastPrinted>
  <dcterms:created xsi:type="dcterms:W3CDTF">2017-11-15T10:42:00Z</dcterms:created>
  <dcterms:modified xsi:type="dcterms:W3CDTF">2018-02-09T13:38:00Z</dcterms:modified>
</cp:coreProperties>
</file>