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7721A6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1A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7721A6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8161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Гражданское право и гражданский процесс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F700E">
        <w:rPr>
          <w:rFonts w:ascii="Times New Roman" w:hAnsi="Times New Roman"/>
          <w:sz w:val="28"/>
          <w:szCs w:val="28"/>
        </w:rPr>
        <w:t>5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124A41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</w:t>
      </w:r>
      <w:r w:rsidR="0081616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16168">
        <w:rPr>
          <w:rFonts w:ascii="Times New Roman" w:hAnsi="Times New Roman"/>
          <w:sz w:val="28"/>
          <w:szCs w:val="28"/>
        </w:rPr>
        <w:t xml:space="preserve">  </w:t>
      </w:r>
      <w:r w:rsidR="007721A6">
        <w:rPr>
          <w:rFonts w:ascii="Times New Roman" w:hAnsi="Times New Roman"/>
          <w:sz w:val="28"/>
          <w:szCs w:val="28"/>
        </w:rPr>
        <w:t>_____________(</w:t>
      </w:r>
      <w:proofErr w:type="spellStart"/>
      <w:r w:rsidR="006B14C2">
        <w:rPr>
          <w:rFonts w:ascii="Times New Roman" w:hAnsi="Times New Roman"/>
          <w:sz w:val="28"/>
          <w:szCs w:val="28"/>
        </w:rPr>
        <w:t>ст.преп</w:t>
      </w:r>
      <w:proofErr w:type="spellEnd"/>
      <w:r w:rsidR="007721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B14C2" w:rsidRPr="006B14C2">
        <w:rPr>
          <w:rFonts w:ascii="Times New Roman" w:hAnsi="Times New Roman"/>
          <w:sz w:val="28"/>
          <w:szCs w:val="28"/>
        </w:rPr>
        <w:t>Юргель</w:t>
      </w:r>
      <w:proofErr w:type="spellEnd"/>
      <w:r w:rsidR="007721A6">
        <w:rPr>
          <w:rFonts w:ascii="Times New Roman" w:hAnsi="Times New Roman"/>
          <w:sz w:val="28"/>
          <w:szCs w:val="28"/>
        </w:rPr>
        <w:t xml:space="preserve"> О.Н.</w:t>
      </w:r>
      <w:r w:rsidR="00602C77" w:rsidRPr="006B14C2">
        <w:rPr>
          <w:rFonts w:ascii="Times New Roman" w:hAnsi="Times New Roman"/>
          <w:sz w:val="28"/>
          <w:szCs w:val="28"/>
        </w:rPr>
        <w:t>)</w:t>
      </w:r>
      <w:r w:rsidR="00602C7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7721A6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7721A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proofErr w:type="spellStart"/>
      <w:r w:rsidR="007721A6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6B14C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6B14C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="006B14C2">
        <w:rPr>
          <w:rFonts w:ascii="Times New Roman" w:hAnsi="Times New Roman"/>
          <w:b/>
          <w:sz w:val="24"/>
          <w:szCs w:val="24"/>
        </w:rPr>
        <w:t>.7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</w:t>
      </w:r>
      <w:r w:rsidR="006B14C2">
        <w:rPr>
          <w:rFonts w:ascii="Times New Roman" w:hAnsi="Times New Roman"/>
          <w:b/>
          <w:sz w:val="24"/>
          <w:szCs w:val="24"/>
        </w:rPr>
        <w:t>…9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816168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Гражданское право и гражданский процесс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442C01" w:rsidRPr="00442C01" w:rsidRDefault="00442C01" w:rsidP="00442C01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442C01" w:rsidRPr="00442C01" w:rsidRDefault="00442C01" w:rsidP="00442C01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Данная дисциплина относится к общепрофессиональным дисциплинам федерального компонента, преподается в 3 и 4 семестрах.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442C01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442C01" w:rsidRPr="00442C01">
        <w:rPr>
          <w:rFonts w:ascii="Times New Roman" w:hAnsi="Times New Roman"/>
          <w:sz w:val="28"/>
          <w:szCs w:val="28"/>
        </w:rPr>
        <w:t>Гражданское право и гражданский процесс» является ознакомление с состоянием правового регулирования гражданских</w:t>
      </w:r>
      <w:r w:rsidR="00442C01">
        <w:rPr>
          <w:rFonts w:ascii="Times New Roman" w:hAnsi="Times New Roman"/>
          <w:sz w:val="28"/>
          <w:szCs w:val="28"/>
        </w:rPr>
        <w:t xml:space="preserve"> отношений и формирование у сту</w:t>
      </w:r>
      <w:r w:rsidR="00442C01" w:rsidRPr="00442C01">
        <w:rPr>
          <w:rFonts w:ascii="Times New Roman" w:hAnsi="Times New Roman"/>
          <w:sz w:val="28"/>
          <w:szCs w:val="28"/>
        </w:rPr>
        <w:t>дентов представления об основных положениях действующего процессуального законодате</w:t>
      </w:r>
      <w:r w:rsidR="00442C01">
        <w:rPr>
          <w:rFonts w:ascii="Times New Roman" w:hAnsi="Times New Roman"/>
          <w:sz w:val="28"/>
          <w:szCs w:val="28"/>
        </w:rPr>
        <w:t>льства, а также научить правиль</w:t>
      </w:r>
      <w:r w:rsidR="00442C01" w:rsidRPr="00442C01">
        <w:rPr>
          <w:rFonts w:ascii="Times New Roman" w:hAnsi="Times New Roman"/>
          <w:sz w:val="28"/>
          <w:szCs w:val="28"/>
        </w:rPr>
        <w:t>но применять их при решении конкретных проблем в практической деятельности.</w:t>
      </w:r>
    </w:p>
    <w:p w:rsidR="00442C01" w:rsidRDefault="004E2867" w:rsidP="00442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</w:t>
      </w:r>
      <w:r w:rsidR="00442C01" w:rsidRPr="00442C01">
        <w:rPr>
          <w:rFonts w:ascii="Times New Roman" w:hAnsi="Times New Roman"/>
          <w:b/>
          <w:sz w:val="28"/>
          <w:szCs w:val="28"/>
        </w:rPr>
        <w:t>ей</w:t>
      </w:r>
      <w:r w:rsidR="00442C01" w:rsidRPr="00816168">
        <w:rPr>
          <w:rFonts w:ascii="Times New Roman" w:hAnsi="Times New Roman"/>
          <w:sz w:val="28"/>
          <w:szCs w:val="28"/>
        </w:rPr>
        <w:t xml:space="preserve"> курса является изучение студентами действующего гражданского законодательства и гражданского судопроизводства, помочь выработать умение ориентироваться в основных источниках гражданского права России, правильно применять соответствующие нормы гражданского и процессуального законодательства, усвоен</w:t>
      </w:r>
      <w:r w:rsidR="00442C01">
        <w:rPr>
          <w:rFonts w:ascii="Times New Roman" w:hAnsi="Times New Roman"/>
          <w:sz w:val="28"/>
          <w:szCs w:val="28"/>
        </w:rPr>
        <w:t>ие порядка рассмотрения и разре</w:t>
      </w:r>
      <w:r w:rsidR="00442C01" w:rsidRPr="00816168">
        <w:rPr>
          <w:rFonts w:ascii="Times New Roman" w:hAnsi="Times New Roman"/>
          <w:sz w:val="28"/>
          <w:szCs w:val="28"/>
        </w:rPr>
        <w:t>шения в судах гражданско-правовых споров.</w:t>
      </w:r>
    </w:p>
    <w:p w:rsidR="00442C01" w:rsidRPr="00442C01" w:rsidRDefault="00602C77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обучающийся должен </w:t>
      </w:r>
      <w:proofErr w:type="gramStart"/>
      <w:r>
        <w:rPr>
          <w:rFonts w:ascii="Times New Roman" w:hAnsi="Times New Roman"/>
          <w:b/>
          <w:sz w:val="28"/>
          <w:szCs w:val="28"/>
        </w:rPr>
        <w:t>знать:</w:t>
      </w:r>
      <w:r w:rsidR="004E2867" w:rsidRPr="002576C8">
        <w:rPr>
          <w:rFonts w:ascii="Times New Roman" w:hAnsi="Times New Roman"/>
          <w:sz w:val="28"/>
          <w:szCs w:val="28"/>
        </w:rPr>
        <w:br/>
      </w:r>
      <w:r w:rsidR="00442C01" w:rsidRPr="00442C01">
        <w:rPr>
          <w:rFonts w:ascii="Times New Roman" w:hAnsi="Times New Roman"/>
          <w:sz w:val="28"/>
          <w:szCs w:val="28"/>
        </w:rPr>
        <w:t>роль</w:t>
      </w:r>
      <w:proofErr w:type="gramEnd"/>
      <w:r w:rsidR="00442C01" w:rsidRPr="00442C01">
        <w:rPr>
          <w:rFonts w:ascii="Times New Roman" w:hAnsi="Times New Roman"/>
          <w:sz w:val="28"/>
          <w:szCs w:val="28"/>
        </w:rPr>
        <w:t xml:space="preserve"> Конституции Российской Федерации при осущест</w:t>
      </w:r>
      <w:r w:rsidR="00442C01" w:rsidRPr="00442C01">
        <w:rPr>
          <w:rFonts w:ascii="Times New Roman" w:hAnsi="Times New Roman"/>
          <w:sz w:val="28"/>
          <w:szCs w:val="28"/>
        </w:rPr>
        <w:softHyphen/>
        <w:t>влении правосудия по гражданским делам;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 xml:space="preserve">гражданское процессуальное законодательство; 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роль правосудия по делам, возникающим из гражданско-правовых отношений на современном этапе развития государ</w:t>
      </w:r>
      <w:r w:rsidRPr="00442C01">
        <w:rPr>
          <w:rFonts w:ascii="Times New Roman" w:hAnsi="Times New Roman"/>
          <w:sz w:val="28"/>
          <w:szCs w:val="28"/>
        </w:rPr>
        <w:softHyphen/>
        <w:t>ства;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 xml:space="preserve">принципы гражданского процессуального права; 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гражданско-процессуальные правоотношения и их субъек</w:t>
      </w:r>
      <w:r w:rsidRPr="00442C01">
        <w:rPr>
          <w:rFonts w:ascii="Times New Roman" w:hAnsi="Times New Roman"/>
          <w:sz w:val="28"/>
          <w:szCs w:val="28"/>
        </w:rPr>
        <w:softHyphen/>
        <w:t>тов;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подведомственность и подсудность гражданских дел;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доказывание и доказательства по гражданским делам; исковые и неисковые производства;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порядок апелляционного, кассационного и надзорного производства;</w:t>
      </w:r>
    </w:p>
    <w:p w:rsidR="00442C01" w:rsidRPr="00442C01" w:rsidRDefault="00442C01" w:rsidP="00442C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исполнительное производство;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442C01" w:rsidRPr="00442C01" w:rsidRDefault="00442C0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2C01">
        <w:rPr>
          <w:rFonts w:ascii="Times New Roman" w:hAnsi="Times New Roman"/>
          <w:sz w:val="28"/>
          <w:szCs w:val="28"/>
        </w:rPr>
        <w:t>использовать знания гражданского процессуального права в практической деятельности на различных должностях, тре</w:t>
      </w:r>
      <w:r w:rsidRPr="00442C01">
        <w:rPr>
          <w:rFonts w:ascii="Times New Roman" w:hAnsi="Times New Roman"/>
          <w:sz w:val="28"/>
          <w:szCs w:val="28"/>
        </w:rPr>
        <w:softHyphen/>
        <w:t>бующих юридических познаний.</w:t>
      </w:r>
    </w:p>
    <w:p w:rsidR="00602C77" w:rsidRPr="004E286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2AA2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</w:t>
      </w:r>
      <w:r w:rsidR="004E2867" w:rsidRPr="005A2AA2">
        <w:rPr>
          <w:rFonts w:ascii="Times New Roman" w:hAnsi="Times New Roman"/>
          <w:b/>
          <w:sz w:val="28"/>
          <w:szCs w:val="28"/>
        </w:rPr>
        <w:t>:</w:t>
      </w:r>
      <w:r w:rsidR="004E2867">
        <w:rPr>
          <w:rFonts w:ascii="Times New Roman" w:hAnsi="Times New Roman"/>
          <w:b/>
          <w:sz w:val="28"/>
          <w:szCs w:val="28"/>
        </w:rPr>
        <w:t xml:space="preserve"> </w:t>
      </w:r>
    </w:p>
    <w:p w:rsidR="00602C77" w:rsidRDefault="005A2AA2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2AA2">
        <w:rPr>
          <w:rFonts w:ascii="Times New Roman" w:hAnsi="Times New Roman"/>
          <w:i/>
          <w:sz w:val="28"/>
          <w:szCs w:val="28"/>
        </w:rPr>
        <w:t>м</w:t>
      </w:r>
      <w:r w:rsidRPr="005A2AA2">
        <w:rPr>
          <w:rFonts w:ascii="Times New Roman" w:hAnsi="Times New Roman"/>
          <w:sz w:val="28"/>
          <w:szCs w:val="28"/>
        </w:rPr>
        <w:t xml:space="preserve">етодикой самостоятельного применения нормативно- правовых актов материального и процессуального права, навыками самостоятельных </w:t>
      </w:r>
      <w:r w:rsidRPr="005A2AA2">
        <w:rPr>
          <w:rFonts w:ascii="Times New Roman" w:hAnsi="Times New Roman"/>
          <w:sz w:val="28"/>
          <w:szCs w:val="28"/>
        </w:rPr>
        <w:lastRenderedPageBreak/>
        <w:t>правовых исследований; навыками самостоятельного составления процессуальных документов</w:t>
      </w:r>
    </w:p>
    <w:p w:rsidR="00467AB9" w:rsidRDefault="00467AB9" w:rsidP="00467AB9">
      <w:pPr>
        <w:pStyle w:val="af3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/>
          <w:b/>
          <w:sz w:val="28"/>
        </w:rPr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  <w:sz w:val="28"/>
        </w:rPr>
        <w:t>должен обладать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общими и профессиональными </w:t>
      </w:r>
      <w:r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467AB9" w:rsidRDefault="00467AB9" w:rsidP="00467AB9">
      <w:pPr>
        <w:pStyle w:val="af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467AB9" w:rsidRDefault="00467AB9" w:rsidP="00467AB9">
      <w:pPr>
        <w:pStyle w:val="af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7AB9" w:rsidRDefault="00467AB9" w:rsidP="00467A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467AB9" w:rsidRDefault="00467AB9" w:rsidP="00467A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467AB9" w:rsidRDefault="00467AB9" w:rsidP="00467AB9">
      <w:pPr>
        <w:pStyle w:val="af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467AB9" w:rsidRDefault="00467AB9" w:rsidP="00467AB9">
      <w:pPr>
        <w:pStyle w:val="af3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:rsidR="00467AB9" w:rsidRDefault="00467AB9" w:rsidP="00467AB9">
      <w:pPr>
        <w:pStyle w:val="af3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:rsidR="00467AB9" w:rsidRPr="005A2AA2" w:rsidRDefault="00467AB9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60573A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42C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4E2867">
        <w:rPr>
          <w:rFonts w:ascii="Times New Roman" w:hAnsi="Times New Roman"/>
          <w:sz w:val="28"/>
          <w:szCs w:val="28"/>
        </w:rPr>
        <w:t>1</w:t>
      </w:r>
      <w:r w:rsidR="00FD65D3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42C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="00FD65D3">
        <w:rPr>
          <w:rFonts w:ascii="Times New Roman" w:hAnsi="Times New Roman"/>
          <w:sz w:val="28"/>
          <w:szCs w:val="28"/>
        </w:rPr>
        <w:t xml:space="preserve"> из них лекционная – 68, практические и семинарские занятия – 68 часов,</w:t>
      </w:r>
      <w:r>
        <w:rPr>
          <w:rFonts w:ascii="Times New Roman" w:hAnsi="Times New Roman"/>
          <w:sz w:val="28"/>
          <w:szCs w:val="28"/>
        </w:rPr>
        <w:t xml:space="preserve"> самостоятельной работы обучающегося </w:t>
      </w:r>
      <w:r w:rsidR="00442C01">
        <w:rPr>
          <w:rFonts w:ascii="Times New Roman" w:hAnsi="Times New Roman"/>
          <w:sz w:val="28"/>
          <w:szCs w:val="28"/>
        </w:rPr>
        <w:t>5</w:t>
      </w:r>
      <w:r w:rsidR="006057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E2867" w:rsidRDefault="0060573A" w:rsidP="00A44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197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E2867" w:rsidRDefault="004E2867" w:rsidP="00A44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86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449C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E286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E2867" w:rsidRDefault="00A44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E286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86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E2867" w:rsidRDefault="00A44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4E286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442C01" w:rsidP="006057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057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2C77" w:rsidTr="004E2867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4E28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зачета и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36711" w:rsidRDefault="00236711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442C01">
        <w:rPr>
          <w:rFonts w:ascii="Times New Roman" w:hAnsi="Times New Roman"/>
          <w:b/>
          <w:sz w:val="28"/>
          <w:szCs w:val="28"/>
        </w:rPr>
        <w:t>Гражданское право и гражданский процесс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4500"/>
        <w:gridCol w:w="950"/>
        <w:gridCol w:w="1084"/>
      </w:tblGrid>
      <w:tr w:rsidR="00602C77" w:rsidTr="000D0E0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6711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6711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</w:t>
            </w:r>
            <w:r w:rsidR="00442C01" w:rsidRPr="00236711">
              <w:rPr>
                <w:rFonts w:ascii="Times New Roman" w:eastAsia="Calibri" w:hAnsi="Times New Roman"/>
                <w:b/>
                <w:sz w:val="20"/>
                <w:szCs w:val="20"/>
              </w:rPr>
              <w:t>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6711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6711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433AB5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Tr="00433AB5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BC7F32" w:rsidRDefault="00602C77" w:rsidP="00433A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C7F32">
              <w:rPr>
                <w:rFonts w:ascii="Times New Roman" w:eastAsia="Calibri" w:hAnsi="Times New Roman"/>
                <w:b/>
              </w:rPr>
              <w:t>Раздел 1.</w:t>
            </w:r>
            <w:r w:rsidR="00433AB5" w:rsidRPr="00BC7F32">
              <w:rPr>
                <w:rFonts w:ascii="Times New Roman" w:eastAsia="Calibri" w:hAnsi="Times New Roman"/>
                <w:b/>
              </w:rPr>
              <w:t xml:space="preserve"> Общая часть гражданского права и гражданского процесса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433AB5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433A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  <w:p w:rsidR="00906301" w:rsidRDefault="00433AB5" w:rsidP="00433AB5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Понятия гражданского права и гражданского процесса. Источники.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36711" w:rsidTr="00236711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711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P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236711" w:rsidTr="00236711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 w:rsidP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Pr="00236711" w:rsidRDefault="00236711" w:rsidP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6711" w:rsidTr="00236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711" w:rsidRPr="00236711" w:rsidRDefault="006057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711" w:rsidRDefault="00236711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236711">
        <w:trPr>
          <w:trHeight w:val="37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906301" w:rsidRPr="00433AB5" w:rsidRDefault="00433AB5" w:rsidP="00433A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3AB5">
              <w:rPr>
                <w:rFonts w:ascii="Times New Roman" w:eastAsia="Calibri" w:hAnsi="Times New Roman"/>
                <w:b/>
                <w:sz w:val="20"/>
                <w:szCs w:val="20"/>
              </w:rPr>
              <w:t>Принципы гражданского права и гражданского процесса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2C77" w:rsidRPr="00236711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236711" w:rsidTr="00236711">
        <w:trPr>
          <w:trHeight w:val="36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Pr="00B022D2" w:rsidRDefault="0023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Pr="00236711" w:rsidRDefault="00236711" w:rsidP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711">
              <w:rPr>
                <w:rFonts w:ascii="Times New Roman" w:eastAsia="Calibri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33A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33A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236711" w:rsidRDefault="006057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33AB5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301" w:rsidRDefault="00906301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602C77" w:rsidRPr="005F6400" w:rsidRDefault="005F6400" w:rsidP="005F6400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400">
              <w:rPr>
                <w:rFonts w:ascii="Times New Roman" w:eastAsia="Calibri" w:hAnsi="Times New Roman"/>
                <w:b/>
                <w:sz w:val="20"/>
                <w:szCs w:val="20"/>
              </w:rPr>
              <w:t>Гражданские правоотношения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 Субъекты. Объекты. Содержание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602C77" w:rsidTr="00433A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</w:t>
            </w:r>
            <w:r w:rsidR="00602C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33A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33A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236711" w:rsidRDefault="009070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6711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Default="00236711" w:rsidP="005F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236711" w:rsidRDefault="00236711" w:rsidP="00607C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400">
              <w:rPr>
                <w:rFonts w:ascii="Times New Roman" w:eastAsia="Calibri" w:hAnsi="Times New Roman"/>
                <w:b/>
                <w:sz w:val="20"/>
                <w:szCs w:val="20"/>
              </w:rPr>
              <w:t>Гражданск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ие</w:t>
            </w:r>
            <w:r w:rsidRPr="005F640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процессуальные </w:t>
            </w:r>
            <w:r w:rsidRPr="005F6400">
              <w:rPr>
                <w:rFonts w:ascii="Times New Roman" w:eastAsia="Calibri" w:hAnsi="Times New Roman"/>
                <w:b/>
                <w:sz w:val="20"/>
                <w:szCs w:val="20"/>
              </w:rPr>
              <w:t>правоотношения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Субъекты. </w:t>
            </w:r>
          </w:p>
          <w:p w:rsidR="009D4027" w:rsidRDefault="009D4027" w:rsidP="00607C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711" w:rsidRDefault="00236711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236711" w:rsidTr="00236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 w:rsidP="0090630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711" w:rsidRPr="00236711" w:rsidRDefault="009D4027" w:rsidP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6711" w:rsidRDefault="0023671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6711" w:rsidTr="00236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Pr="00236711" w:rsidRDefault="009D4027" w:rsidP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6711" w:rsidTr="00236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Pr="00236711" w:rsidRDefault="0060573A" w:rsidP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711" w:rsidRDefault="0023671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36711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Default="00236711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236711" w:rsidRPr="00595B23" w:rsidRDefault="001653F4" w:rsidP="00607CB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Право собственности и другие вещные права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711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6711" w:rsidRDefault="00236711" w:rsidP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236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36711" w:rsidRDefault="006B14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2C77" w:rsidRDefault="00602C77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C3F59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CB5" w:rsidRDefault="00607CB5" w:rsidP="00607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6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Pr="00595B23" w:rsidRDefault="00607CB5" w:rsidP="00607C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95B23">
              <w:rPr>
                <w:rFonts w:ascii="Times New Roman" w:eastAsia="Calibri" w:hAnsi="Times New Roman"/>
                <w:b/>
                <w:sz w:val="20"/>
                <w:szCs w:val="20"/>
              </w:rPr>
              <w:t>Доказывание и доказательства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  <w:p w:rsidR="005C3F59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23671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F59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236711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C3F59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59" w:rsidRPr="00236711" w:rsidRDefault="002367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7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  <w:p w:rsidR="005C3F59" w:rsidRPr="00236711" w:rsidRDefault="005C3F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BC7F32">
        <w:trPr>
          <w:trHeight w:val="37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Default="005C3F59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Тема 1.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7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Default="001653F4" w:rsidP="00607C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59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C3F59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BC7F3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BC7F32" w:rsidRDefault="00BC7F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BC7F3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BC7F32" w:rsidRDefault="00BC7F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7F3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BC7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BC7F32" w:rsidRDefault="00BC7F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7F3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C7F32" w:rsidTr="00BC7F3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32" w:rsidRDefault="00BC7F32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C7F32" w:rsidRDefault="00BC7F32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Раздел П</w:t>
            </w:r>
            <w:r w:rsidRPr="00BC7F32">
              <w:rPr>
                <w:rFonts w:ascii="Times New Roman" w:eastAsia="Calibri" w:hAnsi="Times New Roman"/>
                <w:b/>
              </w:rPr>
              <w:t>. О</w:t>
            </w:r>
            <w:r>
              <w:rPr>
                <w:rFonts w:ascii="Times New Roman" w:eastAsia="Calibri" w:hAnsi="Times New Roman"/>
                <w:b/>
              </w:rPr>
              <w:t>собенная</w:t>
            </w:r>
            <w:r w:rsidRPr="00BC7F32">
              <w:rPr>
                <w:rFonts w:ascii="Times New Roman" w:eastAsia="Calibri" w:hAnsi="Times New Roman"/>
                <w:b/>
              </w:rPr>
              <w:t xml:space="preserve"> часть гражданского права и гражданского процесса</w:t>
            </w:r>
          </w:p>
          <w:p w:rsidR="00BC7F32" w:rsidRPr="00B022D2" w:rsidRDefault="00BC7F32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F32" w:rsidRDefault="00BC7F32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32" w:rsidRPr="00BC7F32" w:rsidRDefault="00BC7F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F32" w:rsidRDefault="00BC7F3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Default="005C3F59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 xml:space="preserve">Тема </w:t>
            </w:r>
            <w:r w:rsidR="001A4984"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A76A3D" w:rsidRPr="00A76A3D" w:rsidRDefault="00A76A3D" w:rsidP="00A76A3D">
            <w:pPr>
              <w:pStyle w:val="ad"/>
              <w:jc w:val="center"/>
              <w:rPr>
                <w:b/>
                <w:sz w:val="20"/>
              </w:rPr>
            </w:pPr>
            <w:r w:rsidRPr="00A76A3D">
              <w:rPr>
                <w:b/>
                <w:sz w:val="20"/>
              </w:rPr>
              <w:t>Договор. Общие положения. Отдельные виды договоров</w:t>
            </w:r>
          </w:p>
          <w:p w:rsidR="005C3F59" w:rsidRDefault="005C3F59" w:rsidP="009009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BC7F32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4B35B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ED3AAB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3AA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ED3AAB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3AA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6B14C2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C3F59" w:rsidRDefault="001A4984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 2.2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Pr="00A76A3D" w:rsidRDefault="00A76A3D" w:rsidP="001A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A3D">
              <w:rPr>
                <w:rFonts w:ascii="Times New Roman" w:hAnsi="Times New Roman"/>
                <w:b/>
                <w:sz w:val="20"/>
                <w:szCs w:val="20"/>
              </w:rPr>
              <w:t>Обязательства вследствие причинения вреда</w:t>
            </w:r>
          </w:p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ED3AAB" w:rsidRDefault="005C3F59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2C20" w:rsidRPr="00ED3AAB" w:rsidRDefault="00DD2C20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4B35B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ED3AAB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3AA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ED3AAB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3AA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D3AAB" w:rsidRDefault="00ED3AAB" w:rsidP="00ED3A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3AA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90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 xml:space="preserve">Тема 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Pr="00A76A3D" w:rsidRDefault="00A76A3D" w:rsidP="00A76A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76A3D">
              <w:rPr>
                <w:rFonts w:ascii="Times New Roman" w:eastAsia="Calibri" w:hAnsi="Times New Roman"/>
                <w:b/>
                <w:sz w:val="20"/>
                <w:szCs w:val="20"/>
              </w:rPr>
              <w:t>Наследственное право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Default="005C3F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4B35B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D3AAB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D3AAB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9070B2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23671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19189A" w:rsidP="001918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 xml:space="preserve">Тема 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Pr="0019189A" w:rsidRDefault="00A76A3D" w:rsidP="00A76A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76A3D">
              <w:rPr>
                <w:rFonts w:ascii="Times New Roman" w:eastAsia="Calibri" w:hAnsi="Times New Roman"/>
                <w:b/>
                <w:sz w:val="20"/>
                <w:szCs w:val="20"/>
              </w:rPr>
              <w:t>Иск. Исковое заявление.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E51A11" w:rsidRDefault="005C3F59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4B35B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D3AAB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062AA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D3AAB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406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D3AAB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4062AA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19189A" w:rsidP="00191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 xml:space="preserve">ема 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A76A3D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="005C3F59"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5C3F59" w:rsidRPr="0019189A" w:rsidRDefault="00A76A3D" w:rsidP="00191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9189A">
              <w:rPr>
                <w:rFonts w:ascii="Times New Roman" w:eastAsia="Calibri" w:hAnsi="Times New Roman"/>
                <w:b/>
                <w:sz w:val="20"/>
                <w:szCs w:val="20"/>
              </w:rPr>
              <w:t>Рассмотрение гражданских дел в суде первой инстанции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F59" w:rsidRPr="00E51A11" w:rsidRDefault="005C3F59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4B35B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9D4027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9D4027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59" w:rsidRDefault="005C3F5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F59" w:rsidRDefault="005C3F5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Pr="00E51A11" w:rsidRDefault="00E51A11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77F3E" w:rsidTr="00177F3E">
        <w:trPr>
          <w:trHeight w:val="300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F3E" w:rsidRDefault="00177F3E" w:rsidP="00A7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 2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6</w:t>
            </w:r>
            <w:r w:rsidRPr="00B022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177F3E" w:rsidRDefault="00177F3E" w:rsidP="00A76A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9189A">
              <w:rPr>
                <w:rFonts w:ascii="Times New Roman" w:eastAsia="Calibri" w:hAnsi="Times New Roman"/>
                <w:b/>
                <w:sz w:val="20"/>
                <w:szCs w:val="20"/>
              </w:rPr>
              <w:t>Обжалование судебных постановлений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F3E" w:rsidRDefault="00177F3E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F3E" w:rsidRPr="00E51A11" w:rsidRDefault="00177F3E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F3E" w:rsidRDefault="004062AA" w:rsidP="004062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62AA">
              <w:rPr>
                <w:rFonts w:ascii="Times New Roman" w:eastAsia="Calibri" w:hAnsi="Times New Roman"/>
                <w:sz w:val="20"/>
                <w:szCs w:val="20"/>
              </w:rPr>
              <w:t>1,2,3</w:t>
            </w:r>
          </w:p>
        </w:tc>
      </w:tr>
      <w:tr w:rsidR="00177F3E" w:rsidTr="00177F3E">
        <w:trPr>
          <w:trHeight w:val="270"/>
        </w:trPr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F3E" w:rsidRDefault="00177F3E" w:rsidP="00A7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F3E" w:rsidRDefault="00177F3E" w:rsidP="00177F3E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F3E" w:rsidRPr="00E51A11" w:rsidRDefault="00E51A11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F3E" w:rsidRDefault="00177F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77F3E" w:rsidTr="00177F3E">
        <w:trPr>
          <w:trHeight w:val="318"/>
        </w:trPr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F3E" w:rsidRDefault="00177F3E" w:rsidP="00A7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F3E" w:rsidRDefault="00177F3E" w:rsidP="00177F3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F3E" w:rsidRPr="00E51A11" w:rsidRDefault="00E51A11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F3E" w:rsidRDefault="00177F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77F3E" w:rsidTr="00177F3E">
        <w:trPr>
          <w:trHeight w:val="495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3E" w:rsidRDefault="00177F3E" w:rsidP="00A7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F3E" w:rsidRDefault="00177F3E" w:rsidP="00177F3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3E" w:rsidRPr="00E51A11" w:rsidRDefault="00E51A11" w:rsidP="00E51A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51A1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3E" w:rsidRDefault="00177F3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3F59" w:rsidTr="000D0E07"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FD7FA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60573A" w:rsidP="00442C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9" w:rsidRDefault="005C3F59" w:rsidP="00FD7FA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Pr="009070B2" w:rsidRDefault="00602C77" w:rsidP="00602C77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9070B2">
        <w:rPr>
          <w:rFonts w:ascii="Times New Roman" w:hAnsi="Times New Roman"/>
          <w:b/>
          <w:sz w:val="20"/>
          <w:szCs w:val="20"/>
          <w:vertAlign w:val="superscript"/>
        </w:rPr>
        <w:t xml:space="preserve">* </w:t>
      </w:r>
      <w:r w:rsidRPr="009070B2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02C77" w:rsidRPr="009070B2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70B2">
        <w:rPr>
          <w:rFonts w:ascii="Times New Roman" w:hAnsi="Times New Roman"/>
          <w:sz w:val="20"/>
          <w:szCs w:val="20"/>
        </w:rPr>
        <w:t>– ознакомительный (узнавание ранее изученных объектов, свойств);</w:t>
      </w:r>
    </w:p>
    <w:p w:rsidR="00602C77" w:rsidRPr="009070B2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70B2">
        <w:rPr>
          <w:rFonts w:ascii="Times New Roman" w:hAnsi="Times New Roman"/>
          <w:sz w:val="20"/>
          <w:szCs w:val="20"/>
        </w:rPr>
        <w:t>– репродуктивный (выполнение деятельности по образцу, инструкции или под руководством);</w:t>
      </w:r>
    </w:p>
    <w:p w:rsidR="00602C77" w:rsidRPr="009070B2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070B2">
        <w:rPr>
          <w:rFonts w:ascii="Times New Roman" w:hAnsi="Times New Roman"/>
          <w:sz w:val="20"/>
          <w:szCs w:val="20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Pr="009070B2" w:rsidRDefault="00602C77" w:rsidP="00602C77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512756" w:rsidRDefault="00512756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4062A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512756" w:rsidRDefault="00512756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3.1. Требования к минимальному материально-техническому обеспечению</w:t>
      </w:r>
    </w:p>
    <w:p w:rsidR="00975850" w:rsidRPr="00975850" w:rsidRDefault="00602C77" w:rsidP="00D755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75850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  <w:r w:rsidR="00975850" w:rsidRPr="00975850">
        <w:rPr>
          <w:rFonts w:ascii="Times New Roman" w:hAnsi="Times New Roman"/>
          <w:sz w:val="28"/>
          <w:szCs w:val="28"/>
        </w:rPr>
        <w:t xml:space="preserve"> </w:t>
      </w:r>
    </w:p>
    <w:p w:rsidR="004970F9" w:rsidRDefault="00975850" w:rsidP="007D64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5850">
        <w:rPr>
          <w:rFonts w:ascii="Times New Roman" w:hAnsi="Times New Roman"/>
          <w:sz w:val="28"/>
          <w:szCs w:val="28"/>
        </w:rPr>
        <w:t>Оборудование учебного кабинета</w:t>
      </w:r>
      <w:r w:rsidR="00D75528">
        <w:rPr>
          <w:rFonts w:ascii="Times New Roman" w:hAnsi="Times New Roman"/>
          <w:sz w:val="28"/>
          <w:szCs w:val="28"/>
        </w:rPr>
        <w:t>:</w:t>
      </w:r>
      <w:r w:rsidR="007D6451">
        <w:rPr>
          <w:rFonts w:ascii="Times New Roman" w:hAnsi="Times New Roman"/>
          <w:sz w:val="28"/>
          <w:szCs w:val="28"/>
        </w:rPr>
        <w:t xml:space="preserve"> а</w:t>
      </w:r>
      <w:r w:rsidR="007D6451" w:rsidRPr="007D6451">
        <w:rPr>
          <w:rFonts w:ascii="Times New Roman" w:hAnsi="Times New Roman"/>
          <w:sz w:val="28"/>
          <w:szCs w:val="28"/>
        </w:rPr>
        <w:t>удиторный фонд, оснащенный мультимедийным оборудованием, обеспечивающий проведение лекционных, семинарских и практических занятий, библиотечный фонд, обеспечивающий доступ к необходимым базам данных, учебно-методическая документация и материалы, представленные как в библиотечном фонде, так и в локал</w:t>
      </w:r>
      <w:r w:rsidR="004970F9">
        <w:rPr>
          <w:rFonts w:ascii="Times New Roman" w:hAnsi="Times New Roman"/>
          <w:sz w:val="28"/>
          <w:szCs w:val="28"/>
        </w:rPr>
        <w:t>ьной сети, технические средства, доступ в интернет.</w:t>
      </w:r>
    </w:p>
    <w:p w:rsidR="00602C77" w:rsidRDefault="00602C77" w:rsidP="007D645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1612F">
        <w:rPr>
          <w:rFonts w:ascii="Times New Roman" w:hAnsi="Times New Roman"/>
          <w:b/>
          <w:sz w:val="28"/>
          <w:szCs w:val="28"/>
        </w:rPr>
        <w:t>Основные источники:</w:t>
      </w:r>
      <w:r w:rsidR="0037104C">
        <w:rPr>
          <w:rFonts w:ascii="Times New Roman" w:hAnsi="Times New Roman"/>
          <w:b/>
          <w:sz w:val="28"/>
          <w:szCs w:val="28"/>
        </w:rPr>
        <w:t xml:space="preserve"> </w:t>
      </w:r>
    </w:p>
    <w:p w:rsidR="003A360E" w:rsidRPr="003A360E" w:rsidRDefault="003A360E" w:rsidP="003A360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Гражданское право. Общая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часть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учебник для СПО / А. П. Анисимов, А. Я. Рыженков, С. А. Чаркин ; под общ. ред. А. Я.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Рыженкова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— 4-е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394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7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065-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266-4684-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-814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5299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266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3A360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Гражданское право. Особенная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часть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учебник для СПО / А. П. Анисимов, А. Я. Рыженков, С. А. Чаркин. — 3-е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522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/941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ACBA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1-20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8-4596-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450-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2977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70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445178" w:rsidRDefault="003A360E" w:rsidP="003A360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Гражданский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процесс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М. Ю. Лебедев [и др.] ; отв. ред. М. Ю. Лебедев. — 3-е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2018. — 394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9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-86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1-421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2-59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775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445178" w:rsidRDefault="00445178" w:rsidP="0044517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45178" w:rsidRDefault="00445178" w:rsidP="0044517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45178" w:rsidRPr="0011612F" w:rsidRDefault="00445178" w:rsidP="004451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612F">
        <w:rPr>
          <w:rFonts w:ascii="Times New Roman" w:hAnsi="Times New Roman"/>
          <w:b/>
          <w:sz w:val="28"/>
          <w:szCs w:val="28"/>
        </w:rPr>
        <w:t>Дополнительные источники</w:t>
      </w:r>
      <w:r w:rsidRPr="001161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178" w:rsidRPr="0011612F" w:rsidRDefault="00445178" w:rsidP="004451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5178" w:rsidRPr="003A360E" w:rsidRDefault="00445178" w:rsidP="004451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Гражданское право. Особенная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часть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В. Н. Ивакин. — 7-е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291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0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82112-05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82-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7-2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6669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Гражданское право. Особенная часть в 2 т. Том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1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учебник для СПО / А. П. Анисимов, А. Я. Рыженков, С. А. Чаркин ; под общ. ред. А. Я.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Рыженкова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— 5-е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320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1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/0009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82-6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63-8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-7804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CEB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lastRenderedPageBreak/>
        <w:t xml:space="preserve">Гражданское право. Особенная часть в 2 т. Том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2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учебник для СПО / А. П. Анисимов, А. Я. Рыженков, С. А. Чаркин ; под общ. ред. А. Я.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Рыженкова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— 5-е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204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2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502-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EBB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2-42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4-88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937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705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Гражданское право.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Практикум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А. П. Анисимов, М. Ю. Козлова, А. Я. Рыженков, А. Ю.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Чикильдина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 ; под общ. ред. А. Я.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Рыженкова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333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3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/37157515-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09-40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AAB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86854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 xml:space="preserve">Составление договора: техника и приемы / О. В. Воробьева. — 2-е изд.,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227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Консультации юриста).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4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/764509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97-4769-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8-84381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29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A360E" w:rsidRPr="003A360E" w:rsidRDefault="003A360E" w:rsidP="004451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A360E">
        <w:rPr>
          <w:rFonts w:ascii="Times New Roman" w:hAnsi="Times New Roman"/>
          <w:color w:val="333333"/>
          <w:sz w:val="28"/>
          <w:szCs w:val="28"/>
        </w:rPr>
        <w:t>Что изменилось в Гражданском кодексе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?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практ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 xml:space="preserve">. пособие / В. А. Белов. — 2-е изд. — 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3A360E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3A360E">
        <w:rPr>
          <w:rFonts w:ascii="Times New Roman" w:hAnsi="Times New Roman"/>
          <w:color w:val="333333"/>
          <w:sz w:val="28"/>
          <w:szCs w:val="28"/>
        </w:rPr>
        <w:t>, 2017. — 227 с. — (</w:t>
      </w:r>
      <w:proofErr w:type="gramStart"/>
      <w:r w:rsidRPr="003A360E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3A360E">
        <w:rPr>
          <w:rFonts w:ascii="Times New Roman" w:hAnsi="Times New Roman"/>
          <w:color w:val="333333"/>
          <w:sz w:val="28"/>
          <w:szCs w:val="28"/>
        </w:rPr>
        <w:t xml:space="preserve"> Профессиональные комментарии).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5" w:history="1"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/846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7422-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208-48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8673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7812</w:t>
        </w:r>
        <w:r w:rsidRPr="00A565D2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40290" w:rsidRPr="00445178" w:rsidRDefault="00240290" w:rsidP="00240290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0290" w:rsidRDefault="00240290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1612F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904119" w:rsidRDefault="004D109E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Справочная </w:t>
      </w:r>
      <w:r w:rsidR="00904119">
        <w:rPr>
          <w:rFonts w:ascii="Times New Roman" w:hAnsi="Times New Roman"/>
          <w:b/>
          <w:sz w:val="28"/>
          <w:szCs w:val="28"/>
        </w:rPr>
        <w:t xml:space="preserve">Правовая </w:t>
      </w:r>
      <w:r>
        <w:rPr>
          <w:rFonts w:ascii="Times New Roman" w:hAnsi="Times New Roman"/>
          <w:b/>
          <w:sz w:val="28"/>
          <w:szCs w:val="28"/>
        </w:rPr>
        <w:t>Система</w:t>
      </w:r>
      <w:r w:rsidR="0090411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904119">
        <w:rPr>
          <w:rFonts w:ascii="Times New Roman" w:hAnsi="Times New Roman"/>
          <w:b/>
          <w:sz w:val="28"/>
          <w:szCs w:val="28"/>
        </w:rPr>
        <w:t>Консультант</w:t>
      </w:r>
      <w:r>
        <w:rPr>
          <w:rFonts w:ascii="Times New Roman" w:hAnsi="Times New Roman"/>
          <w:b/>
          <w:sz w:val="28"/>
          <w:szCs w:val="28"/>
        </w:rPr>
        <w:t>Плюс</w:t>
      </w:r>
      <w:proofErr w:type="spellEnd"/>
      <w:r w:rsidR="00904119">
        <w:rPr>
          <w:rFonts w:ascii="Times New Roman" w:hAnsi="Times New Roman"/>
          <w:b/>
          <w:sz w:val="28"/>
          <w:szCs w:val="28"/>
        </w:rPr>
        <w:t>»</w:t>
      </w:r>
    </w:p>
    <w:p w:rsidR="00904119" w:rsidRPr="00975850" w:rsidRDefault="004D109E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Справочная </w:t>
      </w:r>
      <w:r w:rsidR="00904119">
        <w:rPr>
          <w:rFonts w:ascii="Times New Roman" w:hAnsi="Times New Roman"/>
          <w:b/>
          <w:sz w:val="28"/>
          <w:szCs w:val="28"/>
        </w:rPr>
        <w:t xml:space="preserve">Правовая </w:t>
      </w:r>
      <w:r>
        <w:rPr>
          <w:rFonts w:ascii="Times New Roman" w:hAnsi="Times New Roman"/>
          <w:b/>
          <w:sz w:val="28"/>
          <w:szCs w:val="28"/>
        </w:rPr>
        <w:t>Б</w:t>
      </w:r>
      <w:r w:rsidR="00904119">
        <w:rPr>
          <w:rFonts w:ascii="Times New Roman" w:hAnsi="Times New Roman"/>
          <w:b/>
          <w:sz w:val="28"/>
          <w:szCs w:val="28"/>
        </w:rPr>
        <w:t>аза «Гарант»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75528" w:rsidRDefault="00D75528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</w:t>
      </w:r>
      <w:r w:rsidR="006F1B22">
        <w:rPr>
          <w:rFonts w:ascii="Times New Roman" w:hAnsi="Times New Roman"/>
          <w:sz w:val="28"/>
          <w:szCs w:val="28"/>
        </w:rPr>
        <w:t>оведения практических занятий</w:t>
      </w:r>
      <w:r>
        <w:rPr>
          <w:rFonts w:ascii="Times New Roman" w:hAnsi="Times New Roman"/>
          <w:sz w:val="28"/>
          <w:szCs w:val="28"/>
        </w:rPr>
        <w:t>, тестирования, а также выполнения обучающимися индивидуальных заданий,</w:t>
      </w:r>
      <w:r w:rsidR="006F1B22">
        <w:rPr>
          <w:rFonts w:ascii="Times New Roman" w:hAnsi="Times New Roman"/>
          <w:sz w:val="28"/>
          <w:szCs w:val="28"/>
        </w:rPr>
        <w:t xml:space="preserve"> решения задач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F1B22" w:rsidP="006F1B22">
      <w:pPr>
        <w:tabs>
          <w:tab w:val="left" w:pos="327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602C77" w:rsidRPr="00574FF5" w:rsidTr="009F04C7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574FF5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FF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Pr="00574FF5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FF5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574FF5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FF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RPr="00574FF5" w:rsidTr="009F04C7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C0D" w:rsidRDefault="00602C77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sz w:val="28"/>
                <w:szCs w:val="28"/>
              </w:rPr>
            </w:pPr>
            <w:r w:rsidRPr="006B14C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975850" w:rsidRPr="006B1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2C0D" w:rsidRDefault="00FC2C0D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У1 -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принимать решение в точном соответствии с гражданским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гражданским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процессуальным законодательством; </w:t>
            </w:r>
          </w:p>
          <w:p w:rsidR="00FC2C0D" w:rsidRDefault="00FC2C0D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У2 -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толковать различные правовые акты; применять познания в области гражданского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гражданского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процессуального права; анализировать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юридические факты и возникающие в связи с ними правовые отноше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ния; </w:t>
            </w:r>
          </w:p>
          <w:p w:rsidR="00FC2C0D" w:rsidRDefault="00FC2C0D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У3 -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овывать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 права на практике познаниями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юридических </w:t>
            </w:r>
            <w:proofErr w:type="gramStart"/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фактов;  решения</w:t>
            </w:r>
            <w:proofErr w:type="gramEnd"/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задач; </w:t>
            </w:r>
          </w:p>
          <w:p w:rsidR="00FC2C0D" w:rsidRDefault="00FC2C0D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У4 -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понятия с четко определенным содержанием; </w:t>
            </w:r>
          </w:p>
          <w:p w:rsidR="000A5021" w:rsidRPr="006B14C2" w:rsidRDefault="00FC2C0D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У5 -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логический смысл суждения; пользоваться логическими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правилами  ведения</w:t>
            </w:r>
            <w:proofErr w:type="gramEnd"/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диалога и дискуссии;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У6 -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 верно, аргументировано и ясно строить устную речь; логически рассуждать при аргументации выводов по результатам экспертных исследований.</w:t>
            </w:r>
          </w:p>
          <w:p w:rsidR="000A5021" w:rsidRPr="006B14C2" w:rsidRDefault="000A5021" w:rsidP="000A5021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2C77" w:rsidRPr="006B14C2" w:rsidRDefault="00602C77" w:rsidP="00D7552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6B14C2" w:rsidRDefault="00602C77" w:rsidP="00512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021" w:rsidRPr="006B14C2" w:rsidRDefault="000A5021" w:rsidP="0045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тест, доклад,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 задач</w:t>
            </w:r>
          </w:p>
        </w:tc>
      </w:tr>
      <w:tr w:rsidR="00602C77" w:rsidRPr="00574FF5" w:rsidTr="009F04C7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21" w:rsidRPr="006B14C2" w:rsidRDefault="00602C77" w:rsidP="00D7552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B1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</w:t>
            </w:r>
            <w:r w:rsidR="00FC2C0D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r w:rsidRPr="006B14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D7FA3" w:rsidRPr="006B1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2C0D" w:rsidRDefault="00FC2C0D" w:rsidP="00FC2C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З1 - </w:t>
            </w:r>
            <w:r w:rsidR="000A5021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логического мышления, анализа, систематизации, обобщения информации, постановки исследовательских задач и выбору путей их решения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C2C0D" w:rsidRDefault="00FC2C0D" w:rsidP="00FC2C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З2 -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правовую основу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договорного и обязательственного права, способы защиты прав,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доказательств и сущность доказывания в гражданском процессе; </w:t>
            </w:r>
          </w:p>
          <w:p w:rsidR="00FC2C0D" w:rsidRDefault="00FC2C0D" w:rsidP="00FC2C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З3 -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сущность и содержание основных понятий гражданского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гражданского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процессуального права России; </w:t>
            </w:r>
          </w:p>
          <w:p w:rsidR="00FC2C0D" w:rsidRDefault="00FC2C0D" w:rsidP="00FC2C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З4 -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субъектов гражданского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права и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процесса; </w:t>
            </w:r>
          </w:p>
          <w:p w:rsidR="00602C77" w:rsidRPr="006B14C2" w:rsidRDefault="00FC2C0D" w:rsidP="00FC2C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З5 - </w:t>
            </w:r>
            <w:r w:rsidR="00FF399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законодательство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1F" w:rsidRPr="006B14C2" w:rsidRDefault="00457A1F" w:rsidP="0051275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7A1F" w:rsidRPr="006B14C2" w:rsidRDefault="00457A1F" w:rsidP="0051275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2C77" w:rsidRPr="006B14C2" w:rsidRDefault="00FF399F" w:rsidP="00457A1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тест, доклад, </w:t>
            </w:r>
            <w:r w:rsidR="00457A1F" w:rsidRPr="006B1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</w:tr>
    </w:tbl>
    <w:p w:rsidR="00602C77" w:rsidRPr="00574FF5" w:rsidRDefault="00602C77" w:rsidP="005127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74FF5">
        <w:rPr>
          <w:rFonts w:ascii="Times New Roman" w:hAnsi="Times New Roman"/>
          <w:sz w:val="28"/>
          <w:szCs w:val="28"/>
        </w:rPr>
        <w:tab/>
      </w:r>
    </w:p>
    <w:p w:rsidR="00602C77" w:rsidRPr="00574FF5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04C7" w:rsidRDefault="009F04C7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74FF5">
        <w:rPr>
          <w:rFonts w:ascii="Times New Roman" w:hAnsi="Times New Roman"/>
          <w:b/>
          <w:sz w:val="28"/>
          <w:szCs w:val="28"/>
        </w:rPr>
        <w:t xml:space="preserve">Вопросы к зачету </w:t>
      </w:r>
    </w:p>
    <w:p w:rsidR="00DE3BDE" w:rsidRDefault="00DE3BD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3"/>
      </w:tblGrid>
      <w:tr w:rsidR="00DE3BDE" w:rsidRPr="007B14B7" w:rsidTr="00DE3BDE">
        <w:tc>
          <w:tcPr>
            <w:tcW w:w="6943" w:type="dxa"/>
          </w:tcPr>
          <w:p w:rsidR="00733A9E" w:rsidRPr="00733A9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 xml:space="preserve">Понятие, предмет, </w:t>
            </w:r>
            <w:proofErr w:type="gramStart"/>
            <w:r w:rsidRPr="00DE3BDE">
              <w:rPr>
                <w:rFonts w:ascii="Times New Roman" w:hAnsi="Times New Roman"/>
                <w:color w:val="000000" w:themeColor="text1"/>
              </w:rPr>
              <w:t>метод  источники</w:t>
            </w:r>
            <w:proofErr w:type="gramEnd"/>
            <w:r w:rsidRPr="00DE3B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33A9E">
              <w:rPr>
                <w:rFonts w:ascii="Times New Roman" w:hAnsi="Times New Roman"/>
                <w:color w:val="000000" w:themeColor="text1"/>
              </w:rPr>
              <w:t>гражданского права</w:t>
            </w:r>
          </w:p>
          <w:p w:rsidR="00733A9E" w:rsidRPr="00733A9E" w:rsidRDefault="00BC62D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 xml:space="preserve">Понятие, предмет, </w:t>
            </w:r>
            <w:proofErr w:type="gramStart"/>
            <w:r w:rsidRPr="00DE3BDE">
              <w:rPr>
                <w:rFonts w:ascii="Times New Roman" w:hAnsi="Times New Roman"/>
                <w:color w:val="000000" w:themeColor="text1"/>
              </w:rPr>
              <w:t>метод  источники</w:t>
            </w:r>
            <w:proofErr w:type="gramEnd"/>
            <w:r w:rsidRPr="00DE3BD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гражданского права</w:t>
            </w:r>
          </w:p>
          <w:p w:rsidR="00733A9E" w:rsidRDefault="00BC62D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Принципы гражданского права</w:t>
            </w:r>
          </w:p>
          <w:p w:rsidR="00BC62DB" w:rsidRPr="00733A9E" w:rsidRDefault="00BC62D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Принципы гражданского процесса</w:t>
            </w:r>
          </w:p>
          <w:p w:rsidR="00DE3BDE" w:rsidRPr="00DE3BDE" w:rsidRDefault="00BC62D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Физические лица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BC62D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Юридические лица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BC62DB" w:rsidP="00BC62DB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bCs/>
                <w:color w:val="000000" w:themeColor="text1"/>
              </w:rPr>
              <w:t>Гражданские правоотношения: понятие, особенности, основания для возникновения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2"/>
              <w:numPr>
                <w:ilvl w:val="0"/>
                <w:numId w:val="1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DE3BDE">
              <w:rPr>
                <w:rFonts w:ascii="Times New Roman" w:hAnsi="Times New Roman"/>
                <w:bCs/>
                <w:color w:val="000000" w:themeColor="text1"/>
              </w:rPr>
              <w:t>Гражданские процессуальные правоотношения: понятие, особенности, основания для возникновения.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26793F" w:rsidP="0026793F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 xml:space="preserve">Гражданская процессуальная правоспособность и дееспособность 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Гражданская процессуальная правоспособность и дееспособность.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C2759B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Объекты гражданских прав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6135E4" w:rsidP="006135E4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Юридические факты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Стороны гражданского процесса, их права и обязанности. Замена ненадлежащей стороны.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Процессуальное соучастие: понятие, виды, порядок вступления в процесс.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Третьи лица в гражданском процессе: понятие, виды, права и обязанности.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Процессуальное правопреемство: понятие, виды, порядок вступления в процесс.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Основания и формы участия прокурора в гражданском процессе, его права и обязанности.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 xml:space="preserve"> Участие в гражданском процессе государственных органов, органов местного самоуправления, организаций и граждан, защищающих права и интересы других лиц. 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Понятие и виды судебного представительства. Полномочия представителя: объем и порядок оформления.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 xml:space="preserve">Судебное доказывание: понятие, субъекты, этапы. 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Предмет доказывания. Факты, не подлежащие доказыванию.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Распределение между сторонами обязанности по доказыванию. Доказательственные презумпции.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Оценка доказательств.</w:t>
            </w:r>
          </w:p>
        </w:tc>
      </w:tr>
      <w:tr w:rsidR="00DE3BDE" w:rsidRPr="007B14B7" w:rsidTr="00DE3BDE">
        <w:tc>
          <w:tcPr>
            <w:tcW w:w="6943" w:type="dxa"/>
          </w:tcPr>
          <w:p w:rsidR="00DE3BDE" w:rsidRPr="00DE3BDE" w:rsidRDefault="00DE3BDE" w:rsidP="00DE3BDE">
            <w:pPr>
              <w:pStyle w:val="af0"/>
              <w:numPr>
                <w:ilvl w:val="0"/>
                <w:numId w:val="11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DE3BDE">
              <w:rPr>
                <w:rFonts w:ascii="Times New Roman" w:hAnsi="Times New Roman"/>
                <w:color w:val="000000" w:themeColor="text1"/>
              </w:rPr>
              <w:t>Судебные доказательства: понятие, виды, классификация.</w:t>
            </w:r>
          </w:p>
        </w:tc>
      </w:tr>
    </w:tbl>
    <w:p w:rsidR="00DE3BDE" w:rsidRDefault="00DE3BD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3BDE" w:rsidRDefault="00DE3BD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3BDE" w:rsidRPr="00574FF5" w:rsidRDefault="00DE3BD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2756" w:rsidRPr="00574FF5" w:rsidRDefault="00512756" w:rsidP="0051275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12756" w:rsidRPr="00512756" w:rsidRDefault="00512756" w:rsidP="005127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74FF5">
        <w:rPr>
          <w:rFonts w:ascii="Times New Roman" w:hAnsi="Times New Roman"/>
          <w:b/>
          <w:sz w:val="28"/>
          <w:szCs w:val="28"/>
        </w:rPr>
        <w:t>Вопросы к экзамену</w:t>
      </w:r>
      <w:r w:rsidRPr="0051275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3"/>
      </w:tblGrid>
      <w:tr w:rsidR="007225AE" w:rsidRPr="007B14B7" w:rsidTr="00DE3BDE">
        <w:tc>
          <w:tcPr>
            <w:tcW w:w="6943" w:type="dxa"/>
          </w:tcPr>
          <w:p w:rsidR="00962F4A" w:rsidRDefault="00962F4A" w:rsidP="00962F4A">
            <w:pPr>
              <w:pStyle w:val="af0"/>
              <w:tabs>
                <w:tab w:val="left" w:pos="5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62F4A" w:rsidRDefault="00962F4A" w:rsidP="00962F4A">
            <w:pPr>
              <w:pStyle w:val="af0"/>
              <w:tabs>
                <w:tab w:val="left" w:pos="598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  <w:r w:rsidRPr="00DE3BDE">
              <w:rPr>
                <w:rFonts w:ascii="Times New Roman" w:hAnsi="Times New Roman"/>
                <w:color w:val="000000" w:themeColor="text1"/>
              </w:rPr>
              <w:t xml:space="preserve">Понятие, предмет, </w:t>
            </w:r>
            <w:proofErr w:type="gramStart"/>
            <w:r w:rsidRPr="00DE3BDE">
              <w:rPr>
                <w:rFonts w:ascii="Times New Roman" w:hAnsi="Times New Roman"/>
                <w:color w:val="000000" w:themeColor="text1"/>
              </w:rPr>
              <w:t>метод  источники</w:t>
            </w:r>
            <w:proofErr w:type="gramEnd"/>
            <w:r w:rsidRPr="00DE3BD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гражданского права</w:t>
            </w:r>
          </w:p>
          <w:p w:rsidR="00962F4A" w:rsidRPr="00733A9E" w:rsidRDefault="00962F4A" w:rsidP="00962F4A">
            <w:pPr>
              <w:pStyle w:val="af0"/>
              <w:tabs>
                <w:tab w:val="left" w:pos="598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  <w:r w:rsidRPr="00DE3BDE">
              <w:rPr>
                <w:rFonts w:ascii="Times New Roman" w:hAnsi="Times New Roman"/>
                <w:color w:val="000000" w:themeColor="text1"/>
              </w:rPr>
              <w:t xml:space="preserve">Понятие, предмет, </w:t>
            </w:r>
            <w:proofErr w:type="gramStart"/>
            <w:r w:rsidRPr="00DE3BDE">
              <w:rPr>
                <w:rFonts w:ascii="Times New Roman" w:hAnsi="Times New Roman"/>
                <w:color w:val="000000" w:themeColor="text1"/>
              </w:rPr>
              <w:t>метод  источники</w:t>
            </w:r>
            <w:proofErr w:type="gramEnd"/>
            <w:r w:rsidRPr="00DE3BD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гражданского права</w:t>
            </w:r>
          </w:p>
          <w:p w:rsidR="00962F4A" w:rsidRDefault="00962F4A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Принципы гражданского права</w:t>
            </w:r>
          </w:p>
          <w:p w:rsidR="00962F4A" w:rsidRPr="00733A9E" w:rsidRDefault="00962F4A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Принципы гражданского процесса</w:t>
            </w:r>
          </w:p>
          <w:p w:rsidR="00962F4A" w:rsidRDefault="00962F4A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Физические лица</w:t>
            </w:r>
          </w:p>
          <w:p w:rsidR="007225AE" w:rsidRPr="007225AE" w:rsidRDefault="00B87643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Объекты гражданских прав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tabs>
                <w:tab w:val="left" w:pos="598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Виды гражданского производства. Стадии гражданского процесса.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Способы защиты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bCs/>
                <w:color w:val="000000" w:themeColor="text1"/>
              </w:rPr>
              <w:t>Гражданские процессуальные правоотношения: понятие, особенности, основания для возникновения.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B87643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Гражданские правоотношения: понятие, особенности, основания возникновения 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Гражданская процессуальная правоспособность и дееспособность.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B87643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Гражданская </w:t>
            </w:r>
            <w:r w:rsidRPr="007225AE">
              <w:rPr>
                <w:rFonts w:ascii="Times New Roman" w:hAnsi="Times New Roman"/>
                <w:color w:val="000000" w:themeColor="text1"/>
              </w:rPr>
              <w:t>правоспособность и дееспособность.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Нематериальные блага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lastRenderedPageBreak/>
              <w:t>Стороны гражданского процесса, их права и обязанности. Замена ненадлежащей стороны.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Процессуальное соучастие: понятие, виды, порядок вступления в процесс.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Третьи лица в гражданском процессе: понятие, виды, права и обязанности.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Процессуальное правопреемство: понятие, виды, порядок вступления в процесс.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Основания и формы участия прокурора в гражданском процессе, его права и обязанности.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 xml:space="preserve"> Участие в гражданском процессе государственных органов, органов местного самоуправления, организаций и граждан, защищающих права и интересы других лиц. 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Понятие и виды судебного представительства. Полномочия представителя: объем и порядок оформления.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 xml:space="preserve">Судебное доказывание: понятие, субъекты, этапы. 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Предмет доказывания. Факты, не подлежащие доказыванию.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Распределение между сторонами обязанности по доказыванию. Доказательственные презумпции.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Оценка доказательств.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Судебные доказательства: понятие, виды, классификация.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Понятие и виды процессуальных сроков, порядок их исчисления.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bCs/>
                <w:color w:val="000000" w:themeColor="text1"/>
              </w:rPr>
              <w:t>Понятие и виды судебных расходов. Распределение судебных расходов между сторонами.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Понятие иска в гражданском процессе. Виды исков, элементы иска.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 xml:space="preserve"> Право на иск: право на предъявление иска и право на удовлетворение иска.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Понятие, сущность и значение искового производства.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Возбуждение гражданского дела.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Подготовка гражданского дела к судебному разбирательству. Предварительное судебное заседание.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Судебное разбирательство: задачи, части.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Формы окончания гражданского дела без вынесения судебного решения.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Судебное решение: понятие, требование.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Обязательство. Надлежащее исполнение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Договор. Заключение. Изменение. Прекращение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0"/>
              <w:numPr>
                <w:ilvl w:val="0"/>
                <w:numId w:val="2"/>
              </w:numPr>
              <w:tabs>
                <w:tab w:val="left" w:pos="59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Отдельные виды договоров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bCs/>
                <w:color w:val="000000" w:themeColor="text1"/>
              </w:rPr>
              <w:t>Приказное производство. Отличие от упрощенного производства.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bCs/>
                <w:color w:val="000000" w:themeColor="text1"/>
              </w:rPr>
              <w:t>Особое производство.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bCs/>
                <w:color w:val="000000" w:themeColor="text1"/>
              </w:rPr>
              <w:t>Производство в суде апелляционной инстанции.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Производство в суде кассационной инстанции.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7225AE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7225AE">
              <w:rPr>
                <w:rFonts w:ascii="Times New Roman" w:hAnsi="Times New Roman"/>
                <w:color w:val="000000" w:themeColor="text1"/>
              </w:rPr>
              <w:t>Производство в суде надзорной инстанции.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Наследование по закону</w:t>
            </w:r>
          </w:p>
        </w:tc>
      </w:tr>
      <w:tr w:rsidR="007225AE" w:rsidRPr="007B14B7" w:rsidTr="00DE3BDE">
        <w:tc>
          <w:tcPr>
            <w:tcW w:w="6943" w:type="dxa"/>
          </w:tcPr>
          <w:p w:rsidR="007225AE" w:rsidRPr="007225AE" w:rsidRDefault="00B87643" w:rsidP="00962F4A">
            <w:pPr>
              <w:pStyle w:val="af2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Наследование по завещанию</w:t>
            </w:r>
          </w:p>
        </w:tc>
      </w:tr>
    </w:tbl>
    <w:p w:rsidR="007225AE" w:rsidRDefault="007225A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5AE" w:rsidRDefault="007225A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5AE" w:rsidRDefault="007225A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5AE" w:rsidRPr="009F04C7" w:rsidRDefault="007225AE" w:rsidP="009F04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512756" w:rsidRDefault="00512756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716"/>
      </w:tblGrid>
      <w:tr w:rsidR="009F04C7" w:rsidRPr="005A0F36" w:rsidTr="00041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7" w:rsidRPr="005A0F36" w:rsidRDefault="009F04C7" w:rsidP="00041A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lastRenderedPageBreak/>
              <w:t>Зачтено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7" w:rsidRPr="00E016CE" w:rsidRDefault="009F04C7" w:rsidP="00041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6CE">
              <w:rPr>
                <w:rFonts w:ascii="Times New Roman" w:hAnsi="Times New Roman"/>
                <w:sz w:val="24"/>
                <w:szCs w:val="24"/>
              </w:rPr>
              <w:t>Оценка «зачтено» заслуживает студент, освоивший в полном объеме программу курса.</w:t>
            </w:r>
          </w:p>
        </w:tc>
      </w:tr>
      <w:tr w:rsidR="009F04C7" w:rsidRPr="005A0F36" w:rsidTr="00041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7" w:rsidRPr="005A0F36" w:rsidRDefault="009F04C7" w:rsidP="00041A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C7" w:rsidRPr="00E016CE" w:rsidRDefault="009F04C7" w:rsidP="00041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6CE">
              <w:rPr>
                <w:rFonts w:ascii="Times New Roman" w:hAnsi="Times New Roman"/>
                <w:sz w:val="24"/>
                <w:szCs w:val="24"/>
              </w:rPr>
              <w:t>Оценка «не зачтено» заслуживает студент, не отвечающий или отвечающий неправильно не только по всем вопросам билета, но и на дополнительные вспомогательные вопросы. Очень слабо представляет основные понятийные термины изучаемой дисциплины.</w:t>
            </w:r>
          </w:p>
        </w:tc>
      </w:tr>
    </w:tbl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Однако  ответы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некоторые дополнительные вопросы даны в 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E016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понятийные термины изучаемой дисциплины. Студенту, неудовлетворительно сдавшему экзамен, дается возможность в установленные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ректоратом 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 учебного  семестра  на повторную сдачу экзамена.</w:t>
            </w: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52" w:rsidRDefault="00E91D52"/>
    <w:sectPr w:rsidR="00E91D52" w:rsidSect="00A0259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69" w:rsidRDefault="009F7F69" w:rsidP="00602C77">
      <w:pPr>
        <w:spacing w:after="0" w:line="240" w:lineRule="auto"/>
      </w:pPr>
      <w:r>
        <w:separator/>
      </w:r>
    </w:p>
  </w:endnote>
  <w:endnote w:type="continuationSeparator" w:id="0">
    <w:p w:rsidR="009F7F69" w:rsidRDefault="009F7F69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3A360E" w:rsidRDefault="003A36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D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A360E" w:rsidRDefault="003A36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69" w:rsidRDefault="009F7F69" w:rsidP="00602C77">
      <w:pPr>
        <w:spacing w:after="0" w:line="240" w:lineRule="auto"/>
      </w:pPr>
      <w:r>
        <w:separator/>
      </w:r>
    </w:p>
  </w:footnote>
  <w:footnote w:type="continuationSeparator" w:id="0">
    <w:p w:rsidR="009F7F69" w:rsidRDefault="009F7F69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7E57"/>
    <w:multiLevelType w:val="hybridMultilevel"/>
    <w:tmpl w:val="5522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7409"/>
    <w:multiLevelType w:val="hybridMultilevel"/>
    <w:tmpl w:val="1DAE21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279544F4"/>
    <w:multiLevelType w:val="hybridMultilevel"/>
    <w:tmpl w:val="5418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55A25"/>
    <w:multiLevelType w:val="hybridMultilevel"/>
    <w:tmpl w:val="72BAB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3743"/>
    <w:multiLevelType w:val="multilevel"/>
    <w:tmpl w:val="8C74DC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3C3E5A94"/>
    <w:multiLevelType w:val="hybridMultilevel"/>
    <w:tmpl w:val="5E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5CAA2210"/>
    <w:multiLevelType w:val="hybridMultilevel"/>
    <w:tmpl w:val="E9F8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76F21"/>
    <w:multiLevelType w:val="hybridMultilevel"/>
    <w:tmpl w:val="2B9E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12D27"/>
    <w:multiLevelType w:val="hybridMultilevel"/>
    <w:tmpl w:val="FBCC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353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41A37"/>
    <w:rsid w:val="00051D38"/>
    <w:rsid w:val="000A5021"/>
    <w:rsid w:val="000D0E07"/>
    <w:rsid w:val="0011612F"/>
    <w:rsid w:val="00124A41"/>
    <w:rsid w:val="0013314A"/>
    <w:rsid w:val="001653F4"/>
    <w:rsid w:val="00177F3E"/>
    <w:rsid w:val="0019189A"/>
    <w:rsid w:val="001A4984"/>
    <w:rsid w:val="001A542B"/>
    <w:rsid w:val="001B17F0"/>
    <w:rsid w:val="001D3456"/>
    <w:rsid w:val="00236711"/>
    <w:rsid w:val="00240290"/>
    <w:rsid w:val="00250516"/>
    <w:rsid w:val="0026793F"/>
    <w:rsid w:val="00310ED3"/>
    <w:rsid w:val="0037104C"/>
    <w:rsid w:val="003A360E"/>
    <w:rsid w:val="003A4289"/>
    <w:rsid w:val="004062AA"/>
    <w:rsid w:val="004254E0"/>
    <w:rsid w:val="00433AB5"/>
    <w:rsid w:val="00442C01"/>
    <w:rsid w:val="00445178"/>
    <w:rsid w:val="00457A1F"/>
    <w:rsid w:val="00467AB9"/>
    <w:rsid w:val="00486683"/>
    <w:rsid w:val="004970F9"/>
    <w:rsid w:val="004B35B2"/>
    <w:rsid w:val="004D109E"/>
    <w:rsid w:val="004E2867"/>
    <w:rsid w:val="005004FD"/>
    <w:rsid w:val="00512756"/>
    <w:rsid w:val="005401E9"/>
    <w:rsid w:val="00574FF5"/>
    <w:rsid w:val="00580035"/>
    <w:rsid w:val="005873C1"/>
    <w:rsid w:val="00595B23"/>
    <w:rsid w:val="005A2AA2"/>
    <w:rsid w:val="005C0E42"/>
    <w:rsid w:val="005C3F59"/>
    <w:rsid w:val="005D2A73"/>
    <w:rsid w:val="005D2F59"/>
    <w:rsid w:val="005F6400"/>
    <w:rsid w:val="00602C77"/>
    <w:rsid w:val="0060573A"/>
    <w:rsid w:val="00607CB5"/>
    <w:rsid w:val="006135E4"/>
    <w:rsid w:val="00633066"/>
    <w:rsid w:val="00676911"/>
    <w:rsid w:val="006B14C2"/>
    <w:rsid w:val="006F1B22"/>
    <w:rsid w:val="007008FC"/>
    <w:rsid w:val="007222D5"/>
    <w:rsid w:val="007225AE"/>
    <w:rsid w:val="00733A9E"/>
    <w:rsid w:val="00742FAE"/>
    <w:rsid w:val="00751AAD"/>
    <w:rsid w:val="007721A6"/>
    <w:rsid w:val="007B718B"/>
    <w:rsid w:val="007B7CB0"/>
    <w:rsid w:val="007D6451"/>
    <w:rsid w:val="00816168"/>
    <w:rsid w:val="00831AAE"/>
    <w:rsid w:val="008A09BC"/>
    <w:rsid w:val="00900994"/>
    <w:rsid w:val="00904119"/>
    <w:rsid w:val="00906301"/>
    <w:rsid w:val="009070B2"/>
    <w:rsid w:val="00962F4A"/>
    <w:rsid w:val="009651F0"/>
    <w:rsid w:val="00975850"/>
    <w:rsid w:val="009D4027"/>
    <w:rsid w:val="009F04C7"/>
    <w:rsid w:val="009F7F69"/>
    <w:rsid w:val="00A02591"/>
    <w:rsid w:val="00A449C3"/>
    <w:rsid w:val="00A76A3D"/>
    <w:rsid w:val="00A84717"/>
    <w:rsid w:val="00AF66A2"/>
    <w:rsid w:val="00B05A4A"/>
    <w:rsid w:val="00B260B4"/>
    <w:rsid w:val="00B87643"/>
    <w:rsid w:val="00B97E98"/>
    <w:rsid w:val="00BC5259"/>
    <w:rsid w:val="00BC62DB"/>
    <w:rsid w:val="00BC7F32"/>
    <w:rsid w:val="00C06628"/>
    <w:rsid w:val="00C2759B"/>
    <w:rsid w:val="00CE13EE"/>
    <w:rsid w:val="00D75528"/>
    <w:rsid w:val="00D95988"/>
    <w:rsid w:val="00DD2C20"/>
    <w:rsid w:val="00DE3BDE"/>
    <w:rsid w:val="00DE42D0"/>
    <w:rsid w:val="00E016CE"/>
    <w:rsid w:val="00E04EDB"/>
    <w:rsid w:val="00E103A0"/>
    <w:rsid w:val="00E265AD"/>
    <w:rsid w:val="00E51A11"/>
    <w:rsid w:val="00E91D52"/>
    <w:rsid w:val="00E91E63"/>
    <w:rsid w:val="00EB0DC8"/>
    <w:rsid w:val="00ED3AAB"/>
    <w:rsid w:val="00F3003C"/>
    <w:rsid w:val="00F806DA"/>
    <w:rsid w:val="00FC2C0D"/>
    <w:rsid w:val="00FD65D3"/>
    <w:rsid w:val="00FD7FA3"/>
    <w:rsid w:val="00FE31A0"/>
    <w:rsid w:val="00FF18A8"/>
    <w:rsid w:val="00FF399F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C4D04-0389-4D51-BB28-87343F28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4E286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041A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16"/>
      <w:szCs w:val="20"/>
    </w:rPr>
  </w:style>
  <w:style w:type="character" w:customStyle="1" w:styleId="ae">
    <w:name w:val="Основной текст Знак"/>
    <w:basedOn w:val="a0"/>
    <w:link w:val="ad"/>
    <w:rsid w:val="00041A37"/>
    <w:rPr>
      <w:rFonts w:ascii="Times New Roman" w:eastAsia="Calibri" w:hAnsi="Times New Roman" w:cs="Times New Roman"/>
      <w:sz w:val="16"/>
      <w:szCs w:val="20"/>
    </w:rPr>
  </w:style>
  <w:style w:type="paragraph" w:customStyle="1" w:styleId="1">
    <w:name w:val="Без интервала1"/>
    <w:rsid w:val="009063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">
    <w:name w:val="Strong"/>
    <w:qFormat/>
    <w:rsid w:val="00975850"/>
    <w:rPr>
      <w:rFonts w:cs="Times New Roman"/>
      <w:b/>
      <w:bCs/>
    </w:rPr>
  </w:style>
  <w:style w:type="paragraph" w:styleId="af0">
    <w:name w:val="Body Text Indent"/>
    <w:basedOn w:val="a"/>
    <w:link w:val="af1"/>
    <w:unhideWhenUsed/>
    <w:rsid w:val="009758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7585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1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512756"/>
    <w:pPr>
      <w:ind w:left="720"/>
      <w:contextualSpacing/>
    </w:pPr>
  </w:style>
  <w:style w:type="paragraph" w:styleId="af3">
    <w:name w:val="List"/>
    <w:basedOn w:val="a"/>
    <w:semiHidden/>
    <w:unhideWhenUsed/>
    <w:rsid w:val="00467AB9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941ACBA1-20D8-4596-B450-E2977AB44B70" TargetMode="External"/><Relationship Id="rId13" Type="http://schemas.openxmlformats.org/officeDocument/2006/relationships/hyperlink" Target="https://biblio-online.ru/book/37157515-BF09-40A6-8EF3-DE42AAB868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B88AA065-A266-4684-A4EC-814A5299C266" TargetMode="External"/><Relationship Id="rId12" Type="http://schemas.openxmlformats.org/officeDocument/2006/relationships/hyperlink" Target="https://biblio-online.ru/book/A8A3C502-EBB2-42F4-88FD-A937EB8EC7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0009AC82-6D3C-4F63-8C1D-7804CEB7CD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846A7422-A208-48BC-8E0C-D8673A7812FF" TargetMode="External"/><Relationship Id="rId10" Type="http://schemas.openxmlformats.org/officeDocument/2006/relationships/hyperlink" Target="https://biblio-online.ru/book/1EA82112-05B3-4A82-A9B7-2F039AC666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C9AD7FFF-86E1-421B-9AB2-59AE775F24F4" TargetMode="External"/><Relationship Id="rId14" Type="http://schemas.openxmlformats.org/officeDocument/2006/relationships/hyperlink" Target="https://biblio-online.ru/book/764509AC-4C97-4769-A4D8-84381A4F29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2017-03-28T07:37:00Z</cp:lastPrinted>
  <dcterms:created xsi:type="dcterms:W3CDTF">2018-01-10T05:54:00Z</dcterms:created>
  <dcterms:modified xsi:type="dcterms:W3CDTF">2018-05-22T07:38:00Z</dcterms:modified>
</cp:coreProperties>
</file>