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6F4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Юридический факультет</w:t>
      </w:r>
    </w:p>
    <w:p w:rsidR="00D47C0B" w:rsidRPr="00BD6F48" w:rsidRDefault="00D47C0B" w:rsidP="00C5471E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020372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УТВЕРЖДАЮ</w:t>
      </w:r>
    </w:p>
    <w:p w:rsidR="00D47C0B" w:rsidRPr="00BD6F48" w:rsidRDefault="00D47C0B" w:rsidP="0002037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D47C0B" w:rsidRPr="00BD6F48" w:rsidRDefault="00D47C0B" w:rsidP="0002037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к.ю.н., доцент   Цыганов В.И.</w:t>
      </w:r>
    </w:p>
    <w:p w:rsidR="00D47C0B" w:rsidRPr="00BD6F48" w:rsidRDefault="00D47C0B" w:rsidP="00020372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Pr="00044F70">
        <w:rPr>
          <w:rFonts w:ascii="Times New Roman" w:hAnsi="Times New Roman"/>
          <w:color w:val="000000"/>
          <w:sz w:val="24"/>
          <w:szCs w:val="24"/>
        </w:rPr>
        <w:t>30</w:t>
      </w:r>
      <w:r w:rsidRPr="00BD6F48">
        <w:rPr>
          <w:rFonts w:ascii="Times New Roman" w:hAnsi="Times New Roman"/>
          <w:color w:val="000000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BD6F48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BD6F48">
        <w:rPr>
          <w:rFonts w:ascii="Times New Roman" w:hAnsi="Times New Roman"/>
          <w:color w:val="000000"/>
          <w:sz w:val="24"/>
          <w:szCs w:val="24"/>
        </w:rPr>
        <w:t>.</w:t>
      </w:r>
    </w:p>
    <w:p w:rsidR="00D47C0B" w:rsidRPr="00BD6F48" w:rsidRDefault="00D47C0B" w:rsidP="00020372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D47C0B" w:rsidRPr="00BD6F48" w:rsidRDefault="00D47C0B" w:rsidP="00C547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D47C0B" w:rsidRPr="00BD6F48" w:rsidRDefault="00D47C0B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D47C0B" w:rsidRPr="00BD6F48" w:rsidRDefault="00D47C0B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i/>
          <w:color w:val="000000"/>
          <w:sz w:val="24"/>
          <w:szCs w:val="24"/>
        </w:rPr>
        <w:t>ПМ. 01 «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Обеспечение реализации прав граждан  в сфере пенсионного обеспечения и социальной защиты»</w:t>
      </w:r>
    </w:p>
    <w:p w:rsidR="00D47C0B" w:rsidRPr="00BD6F48" w:rsidRDefault="00D47C0B" w:rsidP="00C5471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D47C0B" w:rsidRPr="00BD6F48" w:rsidRDefault="00D47C0B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D47C0B" w:rsidRPr="00BD6F48" w:rsidRDefault="00D47C0B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D47C0B" w:rsidRDefault="00D47C0B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D47C0B" w:rsidRPr="00BD6F48" w:rsidRDefault="00D47C0B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D47C0B" w:rsidRPr="00BD6F48" w:rsidRDefault="00D47C0B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D47C0B" w:rsidRPr="00BD6F48" w:rsidRDefault="00D47C0B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Очная</w:t>
      </w: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D47C0B" w:rsidRPr="00FE115A" w:rsidRDefault="00D47C0B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</w:t>
      </w:r>
      <w:r w:rsidRPr="00FE115A">
        <w:rPr>
          <w:rFonts w:ascii="Times New Roman" w:hAnsi="Times New Roman"/>
          <w:bCs/>
          <w:color w:val="000000"/>
          <w:sz w:val="24"/>
          <w:szCs w:val="24"/>
        </w:rPr>
        <w:t>6</w:t>
      </w:r>
      <w:bookmarkStart w:id="0" w:name="_GoBack"/>
      <w:bookmarkEnd w:id="0"/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производственной практики составлена в соответствии с требованиями ФГОС СПО по специальности </w:t>
      </w:r>
      <w:r w:rsidRPr="00BD6F48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Зав.кафедрой/председатель комиссии ______________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«__»_______20___г.</w:t>
      </w: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D47C0B" w:rsidRPr="00BD6F48" w:rsidRDefault="00D47C0B" w:rsidP="00C5471E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47C0B" w:rsidRPr="00BD6F48" w:rsidRDefault="00D47C0B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>
      <w:pPr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BD6F48">
      <w:pPr>
        <w:numPr>
          <w:ilvl w:val="0"/>
          <w:numId w:val="1"/>
        </w:numPr>
        <w:tabs>
          <w:tab w:val="clear" w:pos="0"/>
          <w:tab w:val="num" w:pos="284"/>
        </w:tabs>
        <w:spacing w:after="0" w:line="288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bookmarkEnd w:id="1"/>
      <w:r w:rsidRPr="00BD6F48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D47C0B" w:rsidRPr="00BD6F48" w:rsidRDefault="00D47C0B" w:rsidP="00BD6F48">
      <w:pPr>
        <w:tabs>
          <w:tab w:val="num" w:pos="284"/>
        </w:tabs>
        <w:ind w:left="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  <w:tab w:val="left" w:pos="5944"/>
        </w:tabs>
        <w:ind w:left="284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1.1. Место производственной практики в структуре программы подготовки специалистов среднего звена</w:t>
      </w:r>
    </w:p>
    <w:p w:rsidR="00D47C0B" w:rsidRPr="00BD6F48" w:rsidRDefault="00D47C0B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D47C0B" w:rsidRPr="00BD6F48" w:rsidRDefault="00D47C0B" w:rsidP="00BD6F48">
      <w:pPr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BD6F48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D47C0B" w:rsidRPr="00BD6F48" w:rsidRDefault="00D47C0B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BD6F48">
        <w:rPr>
          <w:rFonts w:ascii="Times New Roman" w:hAnsi="Times New Roman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защиты».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D47C0B" w:rsidRPr="00BD6F48" w:rsidRDefault="00D47C0B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BD6F48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В  рамках освоения ПМ.01 «Обеспечение реализации прав граждан  в сфере пенсионного обеспечения и социальной защиты» на производственную практику отводится 2  недели, 72 часа, консультации – 4 часа.</w:t>
      </w: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261"/>
        <w:gridCol w:w="9305"/>
      </w:tblGrid>
      <w:tr w:rsidR="00D47C0B" w:rsidRPr="0090631D" w:rsidTr="00CD385A">
        <w:trPr>
          <w:trHeight w:val="651"/>
        </w:trPr>
        <w:tc>
          <w:tcPr>
            <w:tcW w:w="597" w:type="pct"/>
            <w:gridSpan w:val="2"/>
            <w:vAlign w:val="center"/>
          </w:tcPr>
          <w:p w:rsidR="00D47C0B" w:rsidRPr="0090631D" w:rsidRDefault="00D47C0B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D47C0B" w:rsidRPr="0090631D" w:rsidRDefault="00D47C0B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D47C0B" w:rsidRPr="0090631D" w:rsidTr="00CD385A">
        <w:trPr>
          <w:trHeight w:val="231"/>
        </w:trPr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D47C0B" w:rsidRPr="0090631D" w:rsidRDefault="00D47C0B" w:rsidP="00BD6F48">
            <w:pPr>
              <w:shd w:val="clear" w:color="auto" w:fill="FFFFFF"/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7C0B" w:rsidRPr="00BD6F48" w:rsidRDefault="00D47C0B" w:rsidP="00BD6F48">
            <w:pPr>
              <w:pStyle w:val="ListParagraph"/>
              <w:shd w:val="clear" w:color="auto" w:fill="FFFFFF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c>
          <w:tcPr>
            <w:tcW w:w="597" w:type="pct"/>
            <w:gridSpan w:val="2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rPr>
          <w:gridBefore w:val="1"/>
        </w:trPr>
        <w:tc>
          <w:tcPr>
            <w:tcW w:w="597" w:type="pct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rPr>
          <w:gridBefore w:val="1"/>
        </w:trPr>
        <w:tc>
          <w:tcPr>
            <w:tcW w:w="597" w:type="pct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rPr>
          <w:gridBefore w:val="1"/>
        </w:trPr>
        <w:tc>
          <w:tcPr>
            <w:tcW w:w="597" w:type="pct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BD6F48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0B" w:rsidRPr="0090631D" w:rsidTr="00CD385A">
        <w:trPr>
          <w:gridBefore w:val="1"/>
        </w:trPr>
        <w:tc>
          <w:tcPr>
            <w:tcW w:w="597" w:type="pct"/>
          </w:tcPr>
          <w:p w:rsidR="00D47C0B" w:rsidRPr="0090631D" w:rsidRDefault="00D47C0B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D47C0B" w:rsidRPr="00BD6F48" w:rsidRDefault="00D47C0B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B" w:rsidRPr="00BD6F48" w:rsidRDefault="00D47C0B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7C0B" w:rsidRPr="00BD6F48" w:rsidRDefault="00D47C0B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117"/>
        <w:gridCol w:w="5955"/>
      </w:tblGrid>
      <w:tr w:rsidR="00D47C0B" w:rsidRPr="0090631D" w:rsidTr="0090631D">
        <w:tc>
          <w:tcPr>
            <w:tcW w:w="4393" w:type="dxa"/>
            <w:gridSpan w:val="2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55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ПК-1.4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ПК-1.5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C0B" w:rsidRPr="0090631D" w:rsidTr="0090631D">
        <w:tc>
          <w:tcPr>
            <w:tcW w:w="1276" w:type="dxa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ПК-1.6</w:t>
            </w:r>
          </w:p>
        </w:tc>
        <w:tc>
          <w:tcPr>
            <w:tcW w:w="9072" w:type="dxa"/>
            <w:gridSpan w:val="2"/>
          </w:tcPr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D47C0B" w:rsidRPr="0090631D" w:rsidRDefault="00D47C0B" w:rsidP="0090631D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D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D47C0B" w:rsidRPr="0090631D" w:rsidRDefault="00D47C0B" w:rsidP="0090631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7C0B" w:rsidRPr="00BD6F48" w:rsidRDefault="00D47C0B" w:rsidP="00BD6F48">
      <w:pPr>
        <w:tabs>
          <w:tab w:val="num" w:pos="284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  <w:tab w:val="left" w:pos="709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D47C0B" w:rsidRPr="00BD6F48" w:rsidRDefault="00D47C0B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            3.1 Структура практики</w:t>
      </w:r>
    </w:p>
    <w:p w:rsidR="00D47C0B" w:rsidRPr="00BD6F48" w:rsidRDefault="00D47C0B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5"/>
        <w:gridCol w:w="2643"/>
        <w:gridCol w:w="2313"/>
        <w:gridCol w:w="3139"/>
      </w:tblGrid>
      <w:tr w:rsidR="00D47C0B" w:rsidRPr="0090631D" w:rsidTr="0090631D">
        <w:tc>
          <w:tcPr>
            <w:tcW w:w="2195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43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13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39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47C0B" w:rsidRPr="0090631D" w:rsidTr="0090631D">
        <w:tc>
          <w:tcPr>
            <w:tcW w:w="2195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643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13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2 недели, 72 часа</w:t>
            </w:r>
          </w:p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Консультации-4 часа</w:t>
            </w:r>
          </w:p>
        </w:tc>
        <w:tc>
          <w:tcPr>
            <w:tcW w:w="3139" w:type="dxa"/>
          </w:tcPr>
          <w:p w:rsidR="00D47C0B" w:rsidRPr="0090631D" w:rsidRDefault="00D47C0B" w:rsidP="0090631D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2 семестр</w:t>
            </w:r>
          </w:p>
        </w:tc>
      </w:tr>
    </w:tbl>
    <w:p w:rsidR="00D47C0B" w:rsidRPr="00BD6F48" w:rsidRDefault="00D47C0B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tbl>
      <w:tblPr>
        <w:tblW w:w="10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310"/>
        <w:gridCol w:w="3260"/>
        <w:gridCol w:w="1984"/>
        <w:gridCol w:w="710"/>
        <w:gridCol w:w="710"/>
      </w:tblGrid>
      <w:tr w:rsidR="00D47C0B" w:rsidRPr="0090631D" w:rsidTr="00D43796">
        <w:trPr>
          <w:trHeight w:val="4817"/>
        </w:trPr>
        <w:tc>
          <w:tcPr>
            <w:tcW w:w="1517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D47C0B" w:rsidRPr="0090631D" w:rsidTr="00D43796">
        <w:trPr>
          <w:trHeight w:val="2539"/>
        </w:trPr>
        <w:tc>
          <w:tcPr>
            <w:tcW w:w="1517" w:type="dxa"/>
          </w:tcPr>
          <w:p w:rsidR="00D47C0B" w:rsidRPr="0090631D" w:rsidRDefault="00D47C0B" w:rsidP="00D43796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«Обеспечение реализации прав граждан в сфере пенсионного обеспечения и социальной защиты».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о определению комплекса правоотношений входящих в систему социального обеспечения и социальной защиты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как социально-экономическая категория. Право на социальное обеспечение как одно из основных прав человека. Социальное обеспечение: понятие, виды. Понятие социального риска.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формам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социального обеспечения виды обязательного социального страхования.</w:t>
            </w:r>
          </w:p>
        </w:tc>
        <w:tc>
          <w:tcPr>
            <w:tcW w:w="326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Формы социального обеспечения: понятие, специфические признаки, классификация. Обязательное социальное страхование: общая характеристика, виды, общая характеристика отдельных видов социального страхования. Государственное социальное обеспечение: общая характеристика, виды, общая характеристика отдельных видов. Негосударственное социальное обеспечение. Роль государства в реализации права на социальное обеспечение.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раво социального обеспечения как комплексного образования. особенности метода права социального обеспечения.</w:t>
            </w:r>
          </w:p>
        </w:tc>
        <w:tc>
          <w:tcPr>
            <w:tcW w:w="3260" w:type="dxa"/>
            <w:vAlign w:val="center"/>
          </w:tcPr>
          <w:p w:rsidR="00D47C0B" w:rsidRPr="003764A5" w:rsidRDefault="00D47C0B" w:rsidP="00D437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Понятие права социального обеспечения как самостоятельной от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расли права. Пре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д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мет права социального обеспечения. Метод права соци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ального обеспечения. Система права социального обеспечения: структура общей и особен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ной частей отрасли, основные институты общей и особенной частей. Общая характеристика комплексных институтов особенной части 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расли. Понятие права социального обеспечения как научной дисциплины. 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2158"/>
        </w:trPr>
        <w:tc>
          <w:tcPr>
            <w:tcW w:w="1517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понятию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принципов права и их классификации.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 xml:space="preserve">Понятие и общая характеристика принципов права  социального обеспечения и соотношение их с общеправовыми и межотраслевыми принципами.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Содержание принципов: права социального обеспечения.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BD6F48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источникам права социального обеспечения и их классификации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>Общая характеристика источников права социального обес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печения и их классифик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ция. Международные акты как источники права социального обеспечения, принятые: ООН, МОТ, Советом Европы. Междуна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родные соглашения, заключенные между госуда</w:t>
            </w:r>
            <w:r w:rsidRPr="003764A5">
              <w:rPr>
                <w:rStyle w:val="FontStyle49"/>
                <w:sz w:val="24"/>
                <w:szCs w:val="24"/>
              </w:rPr>
              <w:t>р</w:t>
            </w:r>
            <w:r w:rsidRPr="003764A5">
              <w:rPr>
                <w:rStyle w:val="FontStyle49"/>
                <w:sz w:val="24"/>
                <w:szCs w:val="24"/>
              </w:rPr>
              <w:t>ствами — членами СНГ, двухсторонние соглашения по вопросам социального обеспечения. Ко</w:t>
            </w:r>
            <w:r w:rsidRPr="003764A5">
              <w:rPr>
                <w:rStyle w:val="FontStyle49"/>
                <w:sz w:val="24"/>
                <w:szCs w:val="24"/>
              </w:rPr>
              <w:t>н</w:t>
            </w:r>
            <w:r w:rsidRPr="003764A5">
              <w:rPr>
                <w:rStyle w:val="FontStyle49"/>
                <w:sz w:val="24"/>
                <w:szCs w:val="24"/>
              </w:rPr>
              <w:t>ституция РФ как источник права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ного обеспечения. Федеральные акты и акты субъектов федерации, регулирую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щие общественные о</w:t>
            </w:r>
            <w:r w:rsidRPr="003764A5">
              <w:rPr>
                <w:rStyle w:val="FontStyle49"/>
                <w:sz w:val="24"/>
                <w:szCs w:val="24"/>
              </w:rPr>
              <w:t>т</w:t>
            </w:r>
            <w:r w:rsidRPr="003764A5">
              <w:rPr>
                <w:rStyle w:val="FontStyle49"/>
                <w:sz w:val="24"/>
                <w:szCs w:val="24"/>
              </w:rPr>
              <w:t>ношения по социальному обеспечению. Акты министерств и ведомств и их место в общей системе ис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точников пр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ва социального обеспечения. Муниципальные и локальные акты, их значение на современ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 этапе в регулиров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нии общественных отношений по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ному обеспечению граждан. Значение постановлений и определений Конституционного Суда РФ и Верховного Суда РФ в правовом регулировании отношений в сфере социал</w:t>
            </w:r>
            <w:r w:rsidRPr="003764A5">
              <w:rPr>
                <w:rStyle w:val="FontStyle49"/>
                <w:sz w:val="24"/>
                <w:szCs w:val="24"/>
              </w:rPr>
              <w:t>ь</w:t>
            </w:r>
            <w:r w:rsidRPr="003764A5">
              <w:rPr>
                <w:rStyle w:val="FontStyle49"/>
                <w:sz w:val="24"/>
                <w:szCs w:val="24"/>
              </w:rPr>
              <w:t>ного обеспечения.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3 Источники права социального обеспечения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3453"/>
        </w:trPr>
        <w:tc>
          <w:tcPr>
            <w:tcW w:w="1517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правоотношениям в праве социального обеспечения.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Общая характеристика правоотношений, возникающих в сфере со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циального обесп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чения. Виды общественных отношений, регулируемых правом социального обеспечения: материальные отношения, отношения процедурного и пр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цессуального характера. Общая характеристика каж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дого из элементов правоотношения по социальному обеспеч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нию: субъек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тов правоотношения, содержания и объекта правоотношения, оснований возникн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вения, изменения и прекращения правоотношения. Пенсионные правоотношения. Прав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отношения по возмещению ущерба в порядке обязательного социального стр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хования от несчастных случаев на производстве и про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фессиональных забол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ваний. Правоотношения, возникающие в связи с обеспечением граждан по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собиями и компенсационными выплат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ми по системе социального обес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печения. Правоотношения по предоставлению гражданам соответствующих социальных у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луг. Процедурные и процессуальные правоотношения.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5 Правоотношения в праве социального обеспечения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понятиям и видам трудового стажа.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 xml:space="preserve">Понятие и значение прошлого трудового вклада для социального обеспечения граждан. </w:t>
            </w:r>
            <w:r w:rsidRPr="003764A5">
              <w:rPr>
                <w:rStyle w:val="FontStyle49"/>
                <w:sz w:val="24"/>
                <w:szCs w:val="24"/>
              </w:rPr>
              <w:t>Понятие трудового стажа и его классификация. Общий и страховой трудовой стаж: понятие, юридическое значение. Виды общественно полезной деятельности, включаемые в общий трудовой и страховой стаж. Специальный страховой стаж, необходимый для получения дос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рочной пенсии по старости в связи с особыми условиями труда и в связи с определенными видами профессиональной деятельности. Специальный трудовой и специальный страховой стаж, необ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ходимый для получения пенсий за выслугу лет. Исчисление общего, специального и страхового стажа. Доказательства трудового стажа. Основные документы, подтверждающие трудовой стаж. Установление трудового стажа по свидетельским показаниям.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 Значение индивидуального персонифицированного учета для доказывания трудового (страхового) стажа.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6 Трудовой (страховой) стаж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социальному обслуживанию населения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24"/>
                <w:sz w:val="24"/>
                <w:szCs w:val="24"/>
              </w:rPr>
              <w:t>Общая характеристика системы социального обслуживания пожилых граждан, инв</w:t>
            </w:r>
            <w:r w:rsidRPr="003764A5">
              <w:rPr>
                <w:rStyle w:val="FontStyle24"/>
                <w:sz w:val="24"/>
                <w:szCs w:val="24"/>
              </w:rPr>
              <w:t>а</w:t>
            </w:r>
            <w:r w:rsidRPr="003764A5">
              <w:rPr>
                <w:rStyle w:val="FontStyle24"/>
                <w:sz w:val="24"/>
                <w:szCs w:val="24"/>
              </w:rPr>
              <w:t>лидов, семей с детьми, безработных. Полустационарное и полное стационарное обслуж</w:t>
            </w:r>
            <w:r w:rsidRPr="003764A5">
              <w:rPr>
                <w:rStyle w:val="FontStyle24"/>
                <w:sz w:val="24"/>
                <w:szCs w:val="24"/>
              </w:rPr>
              <w:t>и</w:t>
            </w:r>
            <w:r w:rsidRPr="003764A5">
              <w:rPr>
                <w:rStyle w:val="FontStyle24"/>
                <w:sz w:val="24"/>
                <w:szCs w:val="24"/>
              </w:rPr>
              <w:t>вание по</w:t>
            </w:r>
            <w:r w:rsidRPr="003764A5">
              <w:rPr>
                <w:rStyle w:val="FontStyle24"/>
                <w:sz w:val="24"/>
                <w:szCs w:val="24"/>
              </w:rPr>
              <w:softHyphen/>
              <w:t>жилых граждан и инвалидов. Медико-социальная помощь на дому и срочное с</w:t>
            </w:r>
            <w:r w:rsidRPr="003764A5">
              <w:rPr>
                <w:rStyle w:val="FontStyle24"/>
                <w:sz w:val="24"/>
                <w:szCs w:val="24"/>
              </w:rPr>
              <w:t>о</w:t>
            </w:r>
            <w:r w:rsidRPr="003764A5">
              <w:rPr>
                <w:rStyle w:val="FontStyle24"/>
                <w:sz w:val="24"/>
                <w:szCs w:val="24"/>
              </w:rPr>
              <w:t>циальное обслуживание. Другие виды социальных услуг. Содержание детей в детских учреждениях. Профессиональная реабилитация инвалидов и обеспечение их зан</w:t>
            </w:r>
            <w:r w:rsidRPr="003764A5">
              <w:rPr>
                <w:rStyle w:val="FontStyle24"/>
                <w:sz w:val="24"/>
                <w:szCs w:val="24"/>
              </w:rPr>
              <w:t>я</w:t>
            </w:r>
            <w:r w:rsidRPr="003764A5">
              <w:rPr>
                <w:rStyle w:val="FontStyle24"/>
                <w:sz w:val="24"/>
                <w:szCs w:val="24"/>
              </w:rPr>
              <w:t>тости. Обеспечение инвалидов техническими средствами реабили</w:t>
            </w:r>
            <w:r w:rsidRPr="003764A5">
              <w:rPr>
                <w:rStyle w:val="FontStyle24"/>
                <w:sz w:val="24"/>
                <w:szCs w:val="24"/>
              </w:rPr>
              <w:softHyphen/>
              <w:t>тации. Протезно-ортопедическая помощь.</w:t>
            </w: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D47C0B" w:rsidRPr="00FE115A" w:rsidRDefault="00D47C0B" w:rsidP="00D43796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15 Социальное обслуживание населения</w:t>
            </w:r>
          </w:p>
        </w:tc>
        <w:tc>
          <w:tcPr>
            <w:tcW w:w="7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B" w:rsidRPr="0090631D" w:rsidTr="00D43796">
        <w:trPr>
          <w:trHeight w:val="784"/>
        </w:trPr>
        <w:tc>
          <w:tcPr>
            <w:tcW w:w="1517" w:type="dxa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420" w:type="dxa"/>
            <w:gridSpan w:val="2"/>
            <w:vAlign w:val="center"/>
          </w:tcPr>
          <w:p w:rsidR="00D47C0B" w:rsidRPr="0090631D" w:rsidRDefault="00D47C0B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47C0B" w:rsidRPr="00BD6F48" w:rsidRDefault="00D47C0B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pStyle w:val="a"/>
        <w:tabs>
          <w:tab w:val="num" w:pos="284"/>
        </w:tabs>
        <w:ind w:left="284"/>
        <w:rPr>
          <w:b/>
          <w:i w:val="0"/>
          <w:iCs w:val="0"/>
        </w:rPr>
      </w:pPr>
      <w:r w:rsidRPr="00BD6F48">
        <w:rPr>
          <w:b/>
          <w:i w:val="0"/>
          <w:iCs w:val="0"/>
        </w:rPr>
        <w:t>4 . УСЛОВИЯ О</w:t>
      </w:r>
      <w:r>
        <w:rPr>
          <w:b/>
          <w:i w:val="0"/>
          <w:iCs w:val="0"/>
        </w:rPr>
        <w:t>РГАНИЗАЦИИ  И ПРОВЕДЕНИЯ ПРОИЗВОДСТВЕННОЙ</w:t>
      </w:r>
      <w:r w:rsidRPr="00BD6F48">
        <w:rPr>
          <w:b/>
          <w:i w:val="0"/>
          <w:iCs w:val="0"/>
        </w:rPr>
        <w:t xml:space="preserve"> ПРАКТИКИ</w:t>
      </w:r>
    </w:p>
    <w:p w:rsidR="00D47C0B" w:rsidRPr="00BD6F48" w:rsidRDefault="00D47C0B" w:rsidP="00BD6F48">
      <w:pPr>
        <w:pStyle w:val="ListParagraph"/>
        <w:tabs>
          <w:tab w:val="num" w:pos="284"/>
        </w:tabs>
        <w:ind w:left="284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7C0B" w:rsidRPr="00BD6F48" w:rsidRDefault="00D47C0B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D6F48">
        <w:rPr>
          <w:rFonts w:ascii="Times New Roman" w:hAnsi="Times New Roman"/>
          <w:b/>
          <w:smallCaps/>
          <w:sz w:val="24"/>
          <w:szCs w:val="24"/>
        </w:rPr>
        <w:t>4.1. Т</w:t>
      </w:r>
      <w:r w:rsidRPr="00BD6F48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7C0B" w:rsidRPr="00BD6F48" w:rsidRDefault="00D47C0B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BD6F48">
        <w:rPr>
          <w:rFonts w:ascii="Times New Roman" w:hAnsi="Times New Roman"/>
          <w:i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</w:rPr>
        <w:t>практики;</w:t>
      </w:r>
    </w:p>
    <w:p w:rsidR="00D47C0B" w:rsidRPr="00BD6F48" w:rsidRDefault="00D47C0B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7C0B" w:rsidRPr="00BD6F48" w:rsidRDefault="00D47C0B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предписание на практику;</w:t>
      </w:r>
    </w:p>
    <w:p w:rsidR="00D47C0B" w:rsidRPr="00BD6F48" w:rsidRDefault="00D47C0B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индивидуальное задание;</w:t>
      </w:r>
    </w:p>
    <w:p w:rsidR="00D47C0B" w:rsidRPr="00BD6F48" w:rsidRDefault="00D47C0B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дневник практики;</w:t>
      </w:r>
    </w:p>
    <w:p w:rsidR="00D47C0B" w:rsidRPr="00BD6F48" w:rsidRDefault="00D47C0B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аттестационный лист</w:t>
      </w:r>
    </w:p>
    <w:p w:rsidR="00D47C0B" w:rsidRPr="00BD6F48" w:rsidRDefault="00D47C0B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характеристика</w:t>
      </w:r>
    </w:p>
    <w:p w:rsidR="00D47C0B" w:rsidRPr="00BD6F48" w:rsidRDefault="00D47C0B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по практике.</w:t>
      </w: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4.2. Требования к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>учебно</w:t>
      </w:r>
      <w:r w:rsidRPr="00BD6F48">
        <w:rPr>
          <w:rFonts w:ascii="Times New Roman" w:hAnsi="Times New Roman"/>
          <w:sz w:val="24"/>
          <w:szCs w:val="24"/>
        </w:rPr>
        <w:t>-</w:t>
      </w:r>
      <w:r w:rsidRPr="00BD6F48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>м студента о прохождении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 практики.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BD6F48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BD6F48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New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Roman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или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MT</w:t>
      </w:r>
      <w:r w:rsidRPr="00BD6F48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BD6F48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>Приложения.</w:t>
      </w:r>
      <w:r w:rsidRPr="00BD6F48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BD6F48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D47C0B" w:rsidRPr="00BD6F48" w:rsidRDefault="00D47C0B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D47C0B" w:rsidRPr="00BD6F48" w:rsidRDefault="00D47C0B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i/>
          <w:sz w:val="24"/>
          <w:szCs w:val="24"/>
        </w:rPr>
        <w:t xml:space="preserve">Текст отчета. </w:t>
      </w:r>
      <w:r w:rsidRPr="00BD6F48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7C0B" w:rsidRPr="00BD6F48" w:rsidRDefault="00D47C0B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D47C0B" w:rsidRPr="00BD6F48" w:rsidRDefault="00D47C0B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b/>
          <w:sz w:val="24"/>
          <w:szCs w:val="24"/>
        </w:rPr>
      </w:pPr>
      <w:r w:rsidRPr="00BD6F48">
        <w:rPr>
          <w:b/>
          <w:sz w:val="24"/>
          <w:szCs w:val="24"/>
        </w:rPr>
        <w:t>4.3. Требования к материально-техническому обеспечению</w:t>
      </w:r>
    </w:p>
    <w:p w:rsidR="00D47C0B" w:rsidRPr="00BD6F48" w:rsidRDefault="00D47C0B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D47C0B" w:rsidRPr="00BD6F48" w:rsidRDefault="00D47C0B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практикеиспользуются следующие электронные средства обучения:</w:t>
      </w:r>
    </w:p>
    <w:p w:rsidR="00D47C0B" w:rsidRPr="00BD6F48" w:rsidRDefault="00D47C0B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D47C0B" w:rsidRPr="00BD6F48" w:rsidRDefault="00D47C0B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D47C0B" w:rsidRPr="00BD6F48" w:rsidRDefault="00D47C0B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BD6F48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D47C0B" w:rsidRPr="00BD6F48" w:rsidRDefault="00D47C0B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BD6F48">
        <w:rPr>
          <w:rFonts w:ascii="Times New Roman" w:hAnsi="Times New Roman"/>
          <w:b/>
          <w:sz w:val="24"/>
          <w:szCs w:val="24"/>
        </w:rPr>
        <w:t>:</w:t>
      </w:r>
    </w:p>
    <w:p w:rsidR="00D47C0B" w:rsidRPr="00BD6F48" w:rsidRDefault="00D47C0B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5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2.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4. 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8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BD6F48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D47C0B" w:rsidRPr="00BD6F48" w:rsidRDefault="00D47C0B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Тавокин Е.П. [Znanium.com, 2016, вып. №1-12, стр. 0-0] – Доступ в ЭБС «Znanium.com»: </w:t>
      </w:r>
      <w:hyperlink r:id="rId9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2. 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D47C0B" w:rsidRPr="00BD6F48" w:rsidRDefault="00D47C0B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1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BD6F48">
        <w:rPr>
          <w:rFonts w:ascii="Times New Roman" w:hAnsi="Times New Roman"/>
          <w:sz w:val="24"/>
          <w:szCs w:val="24"/>
        </w:rPr>
        <w:t>.</w:t>
      </w:r>
    </w:p>
    <w:p w:rsidR="00D47C0B" w:rsidRPr="00BD6F48" w:rsidRDefault="00D47C0B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BD6F48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D47C0B" w:rsidRPr="00BD6F48" w:rsidRDefault="00D47C0B" w:rsidP="00BD6F48">
      <w:pPr>
        <w:pStyle w:val="Style3"/>
        <w:widowControl/>
        <w:tabs>
          <w:tab w:val="num" w:pos="284"/>
          <w:tab w:val="left" w:pos="1276"/>
        </w:tabs>
        <w:spacing w:line="240" w:lineRule="auto"/>
        <w:ind w:left="284" w:right="-1" w:firstLine="426"/>
        <w:jc w:val="both"/>
      </w:pP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BD6F48">
        <w:rPr>
          <w:rFonts w:ascii="Times New Roman" w:hAnsi="Times New Roman"/>
          <w:sz w:val="24"/>
          <w:szCs w:val="24"/>
          <w:lang w:val="en-US"/>
        </w:rPr>
        <w:t>F</w:t>
      </w:r>
      <w:r w:rsidRPr="00BD6F48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GarantClient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garant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3) </w:t>
      </w:r>
      <w:r w:rsidRPr="00BD6F48">
        <w:rPr>
          <w:rFonts w:ascii="Times New Roman" w:hAnsi="Times New Roman"/>
          <w:color w:val="000000"/>
          <w:sz w:val="24"/>
          <w:szCs w:val="24"/>
        </w:rPr>
        <w:t>Официальный сайт Министерства здравоохранения РФ</w:t>
      </w:r>
      <w:r w:rsidRPr="00BD6F48">
        <w:rPr>
          <w:rFonts w:ascii="Times New Roman" w:hAnsi="Times New Roman"/>
          <w:sz w:val="24"/>
          <w:szCs w:val="24"/>
        </w:rPr>
        <w:t xml:space="preserve">[Электронный ресурс] / </w:t>
      </w:r>
      <w:r w:rsidRPr="00BD6F48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BD6F48">
        <w:rPr>
          <w:rFonts w:ascii="Times New Roman" w:hAnsi="Times New Roman"/>
          <w:sz w:val="24"/>
          <w:szCs w:val="24"/>
        </w:rPr>
        <w:t>.</w:t>
      </w:r>
      <w:r w:rsidRPr="00BD6F48">
        <w:rPr>
          <w:rFonts w:ascii="Times New Roman" w:hAnsi="Times New Roman"/>
          <w:color w:val="000000"/>
          <w:sz w:val="24"/>
          <w:szCs w:val="24"/>
        </w:rPr>
        <w:t> </w:t>
      </w:r>
      <w:r w:rsidRPr="00BD6F48">
        <w:rPr>
          <w:rFonts w:ascii="Times New Roman" w:hAnsi="Times New Roman"/>
          <w:sz w:val="24"/>
          <w:szCs w:val="24"/>
        </w:rPr>
        <w:t xml:space="preserve"> - 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Режим доступа</w:t>
      </w:r>
      <w:r w:rsidRPr="00BD6F48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http://www.minzdravsoc.ru/</w:t>
        </w:r>
      </w:hyperlink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BD6F48">
        <w:rPr>
          <w:rFonts w:ascii="Times New Roman" w:hAnsi="Times New Roman"/>
          <w:sz w:val="24"/>
          <w:szCs w:val="24"/>
        </w:rPr>
        <w:t xml:space="preserve">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производственной практики. </w:t>
      </w:r>
    </w:p>
    <w:p w:rsidR="00D47C0B" w:rsidRPr="00BD6F48" w:rsidRDefault="00D47C0B" w:rsidP="00BD6F48">
      <w:pPr>
        <w:pStyle w:val="a"/>
        <w:tabs>
          <w:tab w:val="num" w:pos="284"/>
        </w:tabs>
        <w:ind w:left="284"/>
        <w:rPr>
          <w:b/>
          <w:i w:val="0"/>
          <w:iCs w:val="0"/>
        </w:rPr>
      </w:pPr>
      <w:bookmarkStart w:id="5" w:name="_Toc477987507"/>
      <w:r w:rsidRPr="00BD6F48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BD6F48">
        <w:rPr>
          <w:b/>
          <w:i w:val="0"/>
          <w:iCs w:val="0"/>
        </w:rPr>
        <w:t xml:space="preserve">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Для допуска к зачету по учебной практике обучающийся представляет руководителю практики от факультета следующие документы, оформленные в соответствии с рабочей программой учебной практики: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</w:t>
      </w:r>
      <w:r w:rsidRPr="00BD6F48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D47C0B" w:rsidRPr="00BD6F48" w:rsidRDefault="00D47C0B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BD6F48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7C0B" w:rsidRPr="00BD6F48" w:rsidRDefault="00D47C0B" w:rsidP="00BD6F48">
      <w:pPr>
        <w:pStyle w:val="BodyText2"/>
        <w:tabs>
          <w:tab w:val="num" w:pos="284"/>
          <w:tab w:val="left" w:pos="709"/>
        </w:tabs>
        <w:suppressAutoHyphens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BD6F48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48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7533"/>
      </w:tblGrid>
      <w:tr w:rsidR="00D47C0B" w:rsidRPr="0090631D" w:rsidTr="00BD6F48">
        <w:tc>
          <w:tcPr>
            <w:tcW w:w="1176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824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7C0B" w:rsidRPr="0090631D" w:rsidTr="00BD6F48">
        <w:tc>
          <w:tcPr>
            <w:tcW w:w="1176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824" w:type="pct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7C0B" w:rsidRPr="0090631D" w:rsidTr="00BD6F48">
        <w:tc>
          <w:tcPr>
            <w:tcW w:w="1176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824" w:type="pct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D47C0B" w:rsidRPr="0090631D" w:rsidTr="00BD6F48">
        <w:tc>
          <w:tcPr>
            <w:tcW w:w="1176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4" w:type="pct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7C0B" w:rsidRPr="0090631D" w:rsidTr="00BD6F48">
        <w:tc>
          <w:tcPr>
            <w:tcW w:w="1176" w:type="pct"/>
            <w:vAlign w:val="center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824" w:type="pct"/>
          </w:tcPr>
          <w:p w:rsidR="00D47C0B" w:rsidRPr="0090631D" w:rsidRDefault="00D47C0B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D47C0B" w:rsidRPr="00BD6F48" w:rsidRDefault="00D47C0B" w:rsidP="00B26E66">
      <w:pPr>
        <w:rPr>
          <w:rFonts w:ascii="Times New Roman" w:hAnsi="Times New Roman"/>
          <w:sz w:val="24"/>
          <w:szCs w:val="24"/>
        </w:rPr>
      </w:pPr>
    </w:p>
    <w:sectPr w:rsidR="00D47C0B" w:rsidRPr="00BD6F48" w:rsidSect="0003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1E"/>
    <w:rsid w:val="00020372"/>
    <w:rsid w:val="00031305"/>
    <w:rsid w:val="00044F70"/>
    <w:rsid w:val="0028194B"/>
    <w:rsid w:val="002D3B6E"/>
    <w:rsid w:val="002E4FBA"/>
    <w:rsid w:val="003764A5"/>
    <w:rsid w:val="00493EA8"/>
    <w:rsid w:val="005949F9"/>
    <w:rsid w:val="007A36B2"/>
    <w:rsid w:val="007B295B"/>
    <w:rsid w:val="007C59B3"/>
    <w:rsid w:val="007D6748"/>
    <w:rsid w:val="007D7332"/>
    <w:rsid w:val="00800883"/>
    <w:rsid w:val="00833449"/>
    <w:rsid w:val="00853D07"/>
    <w:rsid w:val="0090631D"/>
    <w:rsid w:val="009C5825"/>
    <w:rsid w:val="00AF7CA8"/>
    <w:rsid w:val="00B248A9"/>
    <w:rsid w:val="00B26E66"/>
    <w:rsid w:val="00BD6F48"/>
    <w:rsid w:val="00BE07E5"/>
    <w:rsid w:val="00C07752"/>
    <w:rsid w:val="00C22109"/>
    <w:rsid w:val="00C525B7"/>
    <w:rsid w:val="00C5471E"/>
    <w:rsid w:val="00CD385A"/>
    <w:rsid w:val="00CD5E3A"/>
    <w:rsid w:val="00D248DD"/>
    <w:rsid w:val="00D43796"/>
    <w:rsid w:val="00D47C0B"/>
    <w:rsid w:val="00DF6BAF"/>
    <w:rsid w:val="00F0174E"/>
    <w:rsid w:val="00F67175"/>
    <w:rsid w:val="00FE115A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71E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E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71E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EA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5471E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C54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54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6E66"/>
    <w:rPr>
      <w:rFonts w:cs="Times New Roman"/>
      <w:b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B26E6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B26E66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/>
      <w:b/>
      <w:bCs/>
      <w:sz w:val="17"/>
      <w:szCs w:val="17"/>
    </w:rPr>
  </w:style>
  <w:style w:type="character" w:customStyle="1" w:styleId="6">
    <w:name w:val="Основной текст (6)"/>
    <w:basedOn w:val="DefaultParagraphFont"/>
    <w:uiPriority w:val="99"/>
    <w:rsid w:val="00B26E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0">
    <w:name w:val="Основной текст (6) + Не полужирный"/>
    <w:aliases w:val="Курсив"/>
    <w:basedOn w:val="DefaultParagraphFont"/>
    <w:uiPriority w:val="99"/>
    <w:rsid w:val="00B26E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NormalWeb">
    <w:name w:val="Normal (Web)"/>
    <w:basedOn w:val="Normal"/>
    <w:uiPriority w:val="99"/>
    <w:rsid w:val="00B26E66"/>
    <w:pPr>
      <w:spacing w:before="100" w:beforeAutospacing="1" w:after="100" w:afterAutospacing="1" w:line="216" w:lineRule="auto"/>
      <w:ind w:right="-28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26E66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E66"/>
    <w:rPr>
      <w:rFonts w:cs="Times New Roman"/>
      <w:color w:val="0000FF"/>
      <w:u w:val="single"/>
    </w:rPr>
  </w:style>
  <w:style w:type="character" w:customStyle="1" w:styleId="5">
    <w:name w:val="Заголовок №5_"/>
    <w:basedOn w:val="DefaultParagraphFont"/>
    <w:link w:val="50"/>
    <w:uiPriority w:val="99"/>
    <w:locked/>
    <w:rsid w:val="00B26E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B26E66"/>
    <w:pPr>
      <w:widowControl w:val="0"/>
      <w:shd w:val="clear" w:color="auto" w:fill="FFFFFF"/>
      <w:spacing w:after="120" w:line="240" w:lineRule="atLeast"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B26E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B26E66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a">
    <w:name w:val="ЗАГОЛОВОК"/>
    <w:basedOn w:val="Heading2"/>
    <w:link w:val="a0"/>
    <w:uiPriority w:val="99"/>
    <w:rsid w:val="00493EA8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0">
    <w:name w:val="ЗАГОЛОВОК Знак"/>
    <w:basedOn w:val="Heading2Char"/>
    <w:link w:val="a"/>
    <w:uiPriority w:val="99"/>
    <w:locked/>
    <w:rsid w:val="00493EA8"/>
    <w:rPr>
      <w:rFonts w:ascii="Times New Roman" w:hAnsi="Times New Roman"/>
      <w:i/>
      <w:iCs/>
      <w:smallCap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93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3EA8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3EA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3EA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A3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normalcxspmiddlecxspmiddle">
    <w:name w:val="msonormalcxspmiddlecxspmiddle"/>
    <w:basedOn w:val="Normal"/>
    <w:uiPriority w:val="99"/>
    <w:rsid w:val="00CD3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E115A"/>
  </w:style>
  <w:style w:type="character" w:customStyle="1" w:styleId="FontStyle49">
    <w:name w:val="Font Style49"/>
    <w:uiPriority w:val="99"/>
    <w:rsid w:val="00FE115A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FE115A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21</Pages>
  <Words>6522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4</cp:revision>
  <dcterms:created xsi:type="dcterms:W3CDTF">2018-02-03T14:52:00Z</dcterms:created>
  <dcterms:modified xsi:type="dcterms:W3CDTF">2018-02-04T23:34:00Z</dcterms:modified>
</cp:coreProperties>
</file>