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57" w:rsidRPr="00C57E3C" w:rsidRDefault="00CE4A72" w:rsidP="00C57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7E3C">
        <w:rPr>
          <w:rFonts w:ascii="Times New Roman" w:hAnsi="Times New Roman"/>
          <w:b/>
          <w:sz w:val="24"/>
          <w:szCs w:val="24"/>
        </w:rPr>
        <w:t>МИНИСТЕРСТВО НАУКИ  И ВЫСШЕГО ОБРАЗОВАНИЯ  РОССИЙСКОЙ ФЕДЕРАЦИИ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AD4857" w:rsidRDefault="00AD4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AD4857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AD4857" w:rsidRDefault="00CE4A7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AD4857" w:rsidRDefault="00AD485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57E3C" w:rsidRDefault="00C57E3C" w:rsidP="00C57E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57E3C" w:rsidRDefault="00C57E3C" w:rsidP="00C57E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C57E3C" w:rsidRDefault="00C57E3C" w:rsidP="00C57E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C57E3C" w:rsidRPr="003A73D9" w:rsidRDefault="002C4308" w:rsidP="00C57E3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:rsidR="00AD4857" w:rsidRDefault="00AD485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</w:p>
    <w:p w:rsidR="00AD4857" w:rsidRDefault="00AD485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AD4857" w:rsidRDefault="00CE4A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AD485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 и спорт (Элективная дисциплина – лёгкая атлетика)</w:t>
            </w:r>
          </w:p>
        </w:tc>
      </w:tr>
    </w:tbl>
    <w:p w:rsidR="00AD4857" w:rsidRDefault="00CE4A7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AD4857" w:rsidRDefault="00AD485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AD485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AD4857" w:rsidRDefault="00CE4A7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AD4857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38.03.01 Экономика</w:t>
            </w:r>
          </w:p>
        </w:tc>
      </w:tr>
    </w:tbl>
    <w:p w:rsidR="00AD4857" w:rsidRDefault="00CE4A7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AD4857" w:rsidRDefault="00AD48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AD4857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57E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7E3C">
              <w:rPr>
                <w:rFonts w:ascii="Times New Roman" w:eastAsia="Calibri" w:hAnsi="Times New Roman"/>
                <w:b/>
                <w:sz w:val="24"/>
                <w:szCs w:val="24"/>
              </w:rPr>
              <w:t>Мировая экономика (на английском языке)</w:t>
            </w:r>
          </w:p>
        </w:tc>
      </w:tr>
    </w:tbl>
    <w:p w:rsidR="00AD4857" w:rsidRDefault="00CE4A7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AD4857" w:rsidRDefault="00CE4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AD4857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4857" w:rsidRDefault="00C57E3C" w:rsidP="00C57E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очная,</w:t>
            </w:r>
          </w:p>
        </w:tc>
      </w:tr>
    </w:tbl>
    <w:p w:rsidR="00AD4857" w:rsidRDefault="00CE4A7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AD4857" w:rsidRDefault="00AD4857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AD4857" w:rsidRDefault="00AD4857">
      <w:pPr>
        <w:jc w:val="center"/>
        <w:rPr>
          <w:rFonts w:ascii="Times New Roman" w:hAnsi="Times New Roman"/>
          <w:sz w:val="18"/>
          <w:szCs w:val="18"/>
        </w:rPr>
      </w:pPr>
    </w:p>
    <w:p w:rsidR="00AD4857" w:rsidRDefault="00CE4A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AD4857" w:rsidRDefault="00CE4A7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AD4857" w:rsidRDefault="00AD4857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AD4857" w:rsidRDefault="00CE4A72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br w:type="page"/>
      </w:r>
    </w:p>
    <w:p w:rsidR="00AD4857" w:rsidRDefault="00CE4A72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282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04"/>
        <w:gridCol w:w="772"/>
        <w:gridCol w:w="1012"/>
        <w:gridCol w:w="5094"/>
      </w:tblGrid>
      <w:tr w:rsidR="00AD4857">
        <w:trPr>
          <w:trHeight w:hRule="exact" w:val="416"/>
        </w:trPr>
        <w:tc>
          <w:tcPr>
            <w:tcW w:w="4188" w:type="dxa"/>
            <w:gridSpan w:val="3"/>
            <w:shd w:val="clear" w:color="C0C0C0" w:fill="FFFFFF"/>
          </w:tcPr>
          <w:p w:rsidR="00AD4857" w:rsidRDefault="00AD4857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AD4857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4857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AD4857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AD4857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D4857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</w:pPr>
          </w:p>
        </w:tc>
      </w:tr>
      <w:tr w:rsidR="00AD4857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AD4857" w:rsidRDefault="00AD48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AD4857" w:rsidRDefault="00CE4A7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AD4857" w:rsidRDefault="00AD485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4857" w:rsidRDefault="00AD485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4857" w:rsidRDefault="00AD485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4857" w:rsidRDefault="00AD485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4857" w:rsidRDefault="00AD4857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AD4857" w:rsidRDefault="00CE4A7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ООП </w:t>
      </w:r>
    </w:p>
    <w:p w:rsidR="00AD4857" w:rsidRDefault="00CE4A72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 «Физическая культура и спорт (элективная дисциплина – лёгкая атлетика)» относится к части, формируемой участниками образовательных отношений ООП, в ней  изучаются:</w:t>
      </w:r>
    </w:p>
    <w:p w:rsidR="00AD4857" w:rsidRDefault="00CE4A72">
      <w:pPr>
        <w:tabs>
          <w:tab w:val="left" w:pos="0"/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теоретические основы лёгкой атлетики в рамках дисциплины «Физическая культура»;</w:t>
      </w:r>
    </w:p>
    <w:p w:rsidR="00AD4857" w:rsidRDefault="00CE4A72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AD4857" w:rsidRDefault="00CE4A72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реализуется теоретические знания по месту будущей профессиональной деятельности.</w:t>
      </w:r>
    </w:p>
    <w:p w:rsidR="00AD4857" w:rsidRDefault="00CE4A72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Дисциплина </w:t>
      </w:r>
      <w:r w:rsidR="00C57E3C" w:rsidRPr="00C57E3C">
        <w:rPr>
          <w:rFonts w:ascii="Times New Roman" w:hAnsi="Times New Roman"/>
          <w:sz w:val="24"/>
          <w:szCs w:val="24"/>
        </w:rPr>
        <w:t xml:space="preserve">Б1.В.15 </w:t>
      </w:r>
      <w:r>
        <w:rPr>
          <w:rFonts w:ascii="Times New Roman" w:hAnsi="Times New Roman"/>
          <w:sz w:val="24"/>
          <w:szCs w:val="24"/>
        </w:rPr>
        <w:t>«Физическая культура и спорт (элективная дисциплина – лёгкая атлетика)» относится к части, формируемой участниками образовательных отношений ОПОП направления подготовки 38.03.01 Экономика по направлению «Экономика, международный бизнес и предпринимательство».</w:t>
      </w:r>
    </w:p>
    <w:p w:rsidR="00AD4857" w:rsidRDefault="00AD485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15"/>
        <w:gridCol w:w="3686"/>
        <w:gridCol w:w="5672"/>
      </w:tblGrid>
      <w:tr w:rsidR="00AD485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AD485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C57E3C" w:rsidRPr="00C57E3C">
              <w:rPr>
                <w:rFonts w:ascii="Times New Roman" w:hAnsi="Times New Roman"/>
                <w:sz w:val="24"/>
                <w:szCs w:val="24"/>
              </w:rPr>
              <w:t xml:space="preserve">Б1.В.15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(элективная дисциплина – лёгкая атлетика)»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AD4857" w:rsidRDefault="00AD4857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D4857" w:rsidRDefault="00CE4A72">
      <w:pPr>
        <w:tabs>
          <w:tab w:val="left" w:pos="426"/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</w:p>
    <w:p w:rsidR="00AD4857" w:rsidRDefault="00CE4A72">
      <w:pPr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формирование и развитие компетенции применения методов и средств физической культуры в занятиях лёгкой атлетикой для обеспечения полноценной социальной и профессиональной деятельности на основе системы ценностных ориентаций в сфере физической культуры, знаний и понимания социальной роли физической культуры в развитии личности и подготовке ее к профессиональной деятельности.</w:t>
      </w:r>
    </w:p>
    <w:p w:rsidR="00AD4857" w:rsidRDefault="00AD485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4857" w:rsidRDefault="00AD4857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AD4857" w:rsidRDefault="00CE4A7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D4857" w:rsidRDefault="00AD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AD4857" w:rsidRDefault="00AD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84"/>
        <w:gridCol w:w="2502"/>
        <w:gridCol w:w="5399"/>
      </w:tblGrid>
      <w:tr w:rsidR="00AD4857">
        <w:trPr>
          <w:trHeight w:val="419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AD4857" w:rsidRDefault="00CE4A72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AD4857" w:rsidRDefault="00AD4857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AD4857">
        <w:trPr>
          <w:trHeight w:val="173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pStyle w:val="af1"/>
              <w:spacing w:before="0" w:after="0" w:line="240" w:lineRule="auto"/>
              <w:jc w:val="both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Индикатор достижения 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AD4857" w:rsidRDefault="00CE4A72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AD4857">
        <w:trPr>
          <w:trHeight w:val="35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УК-7.1. Поддерживает должный уровень физической подготовленности для </w:t>
            </w:r>
            <w:r>
              <w:br/>
            </w:r>
            <w:r>
              <w:rPr>
                <w:rFonts w:ascii="Times New Roman" w:hAnsi="Times New Roman"/>
              </w:rPr>
              <w:t xml:space="preserve">обеспечения полноценной социальной и профессиональной деятельности и </w:t>
            </w:r>
            <w:r>
              <w:br/>
            </w:r>
            <w:r>
              <w:rPr>
                <w:rFonts w:ascii="Times New Roman" w:hAnsi="Times New Roman"/>
              </w:rPr>
              <w:t>соблюдает нормы здорового образа жизни</w:t>
            </w:r>
            <w:r>
              <w:br/>
              <w:t xml:space="preserve"> </w:t>
            </w:r>
            <w:r>
              <w:br/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значение физической культуры как фактора развития человеческого капитала, основной составляющей здорового образа жизни.</w:t>
            </w:r>
          </w:p>
          <w:p w:rsidR="00AD4857" w:rsidRDefault="00AD4857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</w:p>
          <w:p w:rsidR="00AD4857" w:rsidRDefault="00CE4A72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  <w:r>
              <w:t>Уметь самостоятельно оценивать уровень физической подготовленности.</w:t>
            </w:r>
          </w:p>
          <w:p w:rsidR="00AD4857" w:rsidRDefault="00AD4857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</w:p>
          <w:p w:rsidR="00AD4857" w:rsidRDefault="00CE4A72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  <w:r>
              <w:t>Владеть навыками беседы по физическому воспитанию.</w:t>
            </w:r>
          </w:p>
        </w:tc>
      </w:tr>
      <w:tr w:rsidR="00AD4857">
        <w:trPr>
          <w:trHeight w:val="50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tabs>
                <w:tab w:val="left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УК-7.2. Использует основы физической культуры для осознанного выбора </w:t>
            </w:r>
            <w:r>
              <w:br/>
            </w:r>
            <w:r>
              <w:rPr>
                <w:rFonts w:ascii="Times New Roman" w:hAnsi="Times New Roman"/>
              </w:rPr>
              <w:t xml:space="preserve">здоровьесберегающих технологий с учетом внутренних и внешних условий </w:t>
            </w:r>
            <w:r>
              <w:br/>
            </w:r>
            <w:r>
              <w:rPr>
                <w:rFonts w:ascii="Times New Roman" w:hAnsi="Times New Roman"/>
              </w:rPr>
              <w:t xml:space="preserve">реализации конкретной профессиональной деятельности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основные показатели физического развития.</w:t>
            </w:r>
          </w:p>
          <w:p w:rsidR="00AD4857" w:rsidRDefault="00AD485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Уметь оценивать уровень физической подготовленности. </w:t>
            </w:r>
          </w:p>
          <w:p w:rsidR="00AD4857" w:rsidRDefault="00AD485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AD4857" w:rsidRDefault="00CE4A72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Владеть технологией оценки уровня развития личных физических качеств.</w:t>
            </w:r>
          </w:p>
        </w:tc>
      </w:tr>
    </w:tbl>
    <w:p w:rsidR="00AD4857" w:rsidRDefault="00AD4857">
      <w:pPr>
        <w:spacing w:after="0"/>
        <w:rPr>
          <w:rFonts w:ascii="Times New Roman" w:hAnsi="Times New Roman"/>
          <w:i/>
          <w:sz w:val="18"/>
          <w:szCs w:val="18"/>
          <w:highlight w:val="yellow"/>
        </w:rPr>
      </w:pPr>
    </w:p>
    <w:p w:rsidR="00AD4857" w:rsidRDefault="00AD48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AD4857" w:rsidRDefault="00AD4857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D4857" w:rsidRDefault="00AD4857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D4857" w:rsidRDefault="00CE4A72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AD4857" w:rsidRDefault="00CE4A72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268"/>
      </w:tblGrid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D485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AD4857" w:rsidRDefault="00CE4A72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AD4857" w:rsidRDefault="00AD48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4857" w:rsidRDefault="00CE4A7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AD4857" w:rsidRDefault="00AD4857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85"/>
        <w:gridCol w:w="592"/>
        <w:gridCol w:w="585"/>
        <w:gridCol w:w="591"/>
        <w:gridCol w:w="442"/>
        <w:gridCol w:w="441"/>
        <w:gridCol w:w="289"/>
        <w:gridCol w:w="596"/>
        <w:gridCol w:w="443"/>
        <w:gridCol w:w="443"/>
        <w:gridCol w:w="442"/>
        <w:gridCol w:w="436"/>
        <w:gridCol w:w="448"/>
        <w:gridCol w:w="422"/>
        <w:gridCol w:w="297"/>
        <w:gridCol w:w="293"/>
        <w:gridCol w:w="737"/>
        <w:gridCol w:w="581"/>
        <w:gridCol w:w="285"/>
      </w:tblGrid>
      <w:tr w:rsidR="00AD4857">
        <w:trPr>
          <w:trHeight w:val="29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D4857">
        <w:trPr>
          <w:trHeight w:val="79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D4857" w:rsidRDefault="00CE4A72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857">
        <w:trPr>
          <w:trHeight w:val="161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</w:t>
            </w:r>
          </w:p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</w:t>
            </w:r>
          </w:p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</w:t>
            </w:r>
          </w:p>
          <w:p w:rsidR="00AD4857" w:rsidRDefault="00CE4A72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4857">
        <w:trPr>
          <w:cantSplit/>
          <w:trHeight w:val="1547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D4857">
        <w:trPr>
          <w:trHeight w:val="20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2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короткие дистанции</w:t>
            </w:r>
            <w:r>
              <w:rPr>
                <w:rFonts w:ascii="Times New Roman" w:hAnsi="Times New Roman"/>
              </w:rPr>
              <w:t xml:space="preserve"> Семенящий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высоким подниманием бедра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Прыжкообразный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на месте с высоким подниманием бедра с опорой руками о стенку (туловище под углом примерно 45-50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Бег с ускорением на 30-60 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Низкий старт</w:t>
            </w:r>
            <w:r>
              <w:rPr>
                <w:rFonts w:ascii="Times New Roman" w:hAnsi="Times New Roman"/>
              </w:rPr>
              <w:t xml:space="preserve"> Бег с низкого старта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по дистанции по прямой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</w:rPr>
              <w:t>бег по виражу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финиширование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время на различные отрезки дистанции 30, 60, 100м.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Подводящие и подготовительные упражнения для развития силы и быстроты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средние дистанции Специальные беговые упражнения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Семенящий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прыжкообразный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Ускорение на различные отрезки дистанции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медленного бега Переменный бег на различные отрезки на время с чередованием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повторный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4857" w:rsidRDefault="00CE4A72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а)ознакомление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4857" w:rsidRDefault="00CE4A72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AD4857" w:rsidRDefault="00CE4A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традиционных форма (зачет)</w:t>
      </w:r>
    </w:p>
    <w:p w:rsidR="00AD4857" w:rsidRDefault="00AD4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857" w:rsidRDefault="00CE4A72">
      <w:pPr>
        <w:pStyle w:val="af8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Содержание материала учебных занятий </w:t>
      </w:r>
    </w:p>
    <w:p w:rsidR="00AD4857" w:rsidRDefault="00CE4A72">
      <w:pPr>
        <w:pStyle w:val="af8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для студентов с ограниченными возможностями здоровья и инвалидов </w:t>
      </w:r>
    </w:p>
    <w:p w:rsidR="00AD4857" w:rsidRDefault="00CE4A72">
      <w:pPr>
        <w:pStyle w:val="af8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 xml:space="preserve">В группы обучающихся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AD4857" w:rsidRDefault="00CE4A72">
      <w:pPr>
        <w:pStyle w:val="af8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>Учебный процесс в группах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AD4857" w:rsidRDefault="00CE4A72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AD4857" w:rsidRDefault="00AD4857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AD4857" w:rsidRDefault="00AD4857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AD4857" w:rsidRDefault="00CE4A72">
      <w:pPr>
        <w:numPr>
          <w:ilvl w:val="0"/>
          <w:numId w:val="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AD4857" w:rsidRDefault="00CE4A72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занимающихся физическими упражнениями и спортом. Тема 9. Профессионально-прикладная физическая подготовка (ППФП) студентов.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AD4857" w:rsidRDefault="00CE4A7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</w:t>
      </w:r>
    </w:p>
    <w:p w:rsidR="00AD4857" w:rsidRDefault="00AD4857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4857" w:rsidRDefault="00CE4A7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AD4857" w:rsidRDefault="00CE4A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AD4857" w:rsidRDefault="00AD485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AD4857" w:rsidRDefault="00AD485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857" w:rsidRDefault="00AD485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857" w:rsidRDefault="00CE4A7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AD4857" w:rsidRDefault="00CE4A7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AD4857" w:rsidRDefault="00AD485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857" w:rsidRDefault="00CE4A72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(семестров).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AD4857" w:rsidRDefault="00CE4A7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D4857" w:rsidRDefault="00AD4857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AD4857" w:rsidRDefault="00CE4A72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AD4857" w:rsidRDefault="00CE4A7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AD4857" w:rsidRDefault="00AD485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D4857" w:rsidRDefault="00AD4857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AD4857" w:rsidRDefault="00CE4A72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AD4857" w:rsidRDefault="00CE4A72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AD4857" w:rsidRDefault="00AD485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AD4857" w:rsidRDefault="00CE4A72">
      <w:pPr>
        <w:pStyle w:val="af2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AD4857" w:rsidRDefault="00CE4A72">
      <w:pPr>
        <w:pStyle w:val="af2"/>
        <w:tabs>
          <w:tab w:val="left" w:pos="993"/>
          <w:tab w:val="left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AD4857" w:rsidRDefault="00CE4A72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AD4857" w:rsidRDefault="00CE4A72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AD4857" w:rsidRDefault="00CE4A72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  <w:r>
        <w:rPr>
          <w:rFonts w:ascii="Times New Roman" w:hAnsi="Times New Roman"/>
          <w:color w:val="000000"/>
          <w:sz w:val="24"/>
          <w:szCs w:val="24"/>
        </w:rPr>
        <w:t xml:space="preserve">  Зачет  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AD4857" w:rsidRDefault="00CE4A7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969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240"/>
        <w:gridCol w:w="2765"/>
        <w:gridCol w:w="2450"/>
        <w:gridCol w:w="236"/>
      </w:tblGrid>
      <w:tr w:rsidR="00AD4857"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AD4857" w:rsidRDefault="00CE4A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2" w:type="dxa"/>
          </w:tcPr>
          <w:p w:rsidR="00AD4857" w:rsidRDefault="00AD4857">
            <w:pPr>
              <w:widowControl w:val="0"/>
            </w:pPr>
          </w:p>
        </w:tc>
      </w:tr>
      <w:tr w:rsidR="00AD4857"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AD485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AD4857">
        <w:trPr>
          <w:trHeight w:val="1016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AD4857" w:rsidRDefault="00CE4A72">
            <w:pPr>
              <w:widowControl w:val="0"/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лёгкой атлетики в рамках занятий  физической культурой, как фактора развития человеческого капитала, основной составляющей здорового образа жизни, методики обучения технике двигательных действий и развития физических качеств средствами из лёгкой атлетики.</w:t>
            </w:r>
          </w:p>
          <w:p w:rsidR="00AD4857" w:rsidRDefault="00AD485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ошибок.</w:t>
            </w:r>
          </w:p>
        </w:tc>
      </w:tr>
      <w:tr w:rsidR="00AD4857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 при занятиях лёгкой атлетикой.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умения выбрать и  применять средства физической культуры в регулировании работоспособности при занятиях лёгкой атлетикой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D4857" w:rsidRDefault="00AD485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выбрать и   применять средства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несущественных ошибок</w:t>
            </w:r>
          </w:p>
        </w:tc>
      </w:tr>
      <w:tr w:rsidR="00AD4857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AD4857" w:rsidRDefault="00CE4A72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технологией оценки уровня развития личных физических качеств,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 отсутствие навыков самостоятельного освоения отдельных элементов для развития личных физических качеств.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минимальных навыков самостоятельного освоения отдельных элементов для развития физических качеств.</w:t>
            </w:r>
          </w:p>
        </w:tc>
      </w:tr>
    </w:tbl>
    <w:p w:rsidR="00AD4857" w:rsidRDefault="00AD4857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857" w:rsidRDefault="00CE4A72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работы:</w:t>
      </w:r>
    </w:p>
    <w:p w:rsidR="00AD4857" w:rsidRDefault="00CE4A72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 ,отвечает на дополнительные вопросы преподавателя и студентов (при докладе).</w:t>
      </w:r>
    </w:p>
    <w:p w:rsidR="00AD4857" w:rsidRDefault="00CE4A72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-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AD4857" w:rsidRDefault="00CE4A72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"Удовлетворительно" - 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>
        <w:rPr>
          <w:rFonts w:ascii="Times New Roman" w:hAnsi="Times New Roman"/>
          <w:sz w:val="20"/>
          <w:szCs w:val="20"/>
        </w:rPr>
        <w:t>.</w:t>
      </w:r>
    </w:p>
    <w:p w:rsidR="00AD4857" w:rsidRDefault="00AD4857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857" w:rsidRDefault="00CE4A72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AD4857" w:rsidRDefault="00CE4A72">
      <w:pPr>
        <w:pStyle w:val="af2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"</w:t>
      </w:r>
      <w:r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AD4857" w:rsidRDefault="00CE4A72">
      <w:pPr>
        <w:pStyle w:val="af2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AD4857" w:rsidRDefault="00CE4A72">
      <w:pPr>
        <w:shd w:val="clear" w:color="auto" w:fill="FFFFFF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AD4857" w:rsidRDefault="00AD4857">
      <w:pPr>
        <w:pStyle w:val="af2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AD4857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AD4857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AD4857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AD485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AD485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AD485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AD4857" w:rsidRDefault="00AD485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D4857" w:rsidRDefault="00AD485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57" w:rsidRDefault="00CE4A72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276"/>
        <w:gridCol w:w="2408"/>
        <w:gridCol w:w="6381"/>
      </w:tblGrid>
      <w:tr w:rsidR="00AD4857">
        <w:trPr>
          <w:trHeight w:val="330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widowControl w:val="0"/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AD4857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D4857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D4857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D4857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D4857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D4857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widowControl w:val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Неудовлетворитель-</w:t>
            </w:r>
          </w:p>
          <w:p w:rsidR="00AD4857" w:rsidRDefault="00CE4A72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AD4857" w:rsidRDefault="00AD48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AD4857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D4857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AD4857" w:rsidRDefault="00AD4857">
      <w:pPr>
        <w:pStyle w:val="af2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AD4857" w:rsidRDefault="00AD4857">
      <w:pPr>
        <w:pStyle w:val="af2"/>
        <w:ind w:left="-142" w:right="-426"/>
        <w:rPr>
          <w:rFonts w:ascii="Times New Roman" w:hAnsi="Times New Roman"/>
          <w:sz w:val="18"/>
          <w:szCs w:val="18"/>
        </w:rPr>
      </w:pPr>
    </w:p>
    <w:p w:rsidR="00AD4857" w:rsidRDefault="00CE4A72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AD4857" w:rsidRDefault="00AD485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 </w:t>
      </w:r>
      <w:r>
        <w:rPr>
          <w:rFonts w:ascii="Times New Roman" w:hAnsi="Times New Roman"/>
          <w:i/>
          <w:iCs/>
          <w:sz w:val="24"/>
          <w:szCs w:val="24"/>
        </w:rPr>
        <w:t>практические выполнение нормативов.</w:t>
      </w:r>
    </w:p>
    <w:p w:rsidR="00AD4857" w:rsidRDefault="00AD4857">
      <w:pPr>
        <w:pStyle w:val="af2"/>
        <w:ind w:left="360" w:right="-284"/>
        <w:rPr>
          <w:rFonts w:ascii="Times New Roman" w:hAnsi="Times New Roman"/>
          <w:i/>
          <w:sz w:val="18"/>
          <w:szCs w:val="18"/>
        </w:rPr>
      </w:pPr>
    </w:p>
    <w:p w:rsidR="00AD4857" w:rsidRDefault="00AD4857">
      <w:pPr>
        <w:pStyle w:val="af2"/>
        <w:ind w:left="0" w:right="-284"/>
        <w:rPr>
          <w:rFonts w:ascii="Times New Roman" w:hAnsi="Times New Roman"/>
          <w:i/>
          <w:sz w:val="18"/>
          <w:szCs w:val="18"/>
        </w:rPr>
      </w:pPr>
    </w:p>
    <w:p w:rsidR="00AD4857" w:rsidRDefault="00CE4A72">
      <w:pPr>
        <w:pStyle w:val="af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914"/>
        <w:gridCol w:w="2657"/>
      </w:tblGrid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качеств при занятиях лёгкой атлетикой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AD4857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57" w:rsidRDefault="00CE4A72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AD4857" w:rsidRDefault="00AD4857">
      <w:pPr>
        <w:pStyle w:val="af2"/>
        <w:ind w:left="0" w:right="-284"/>
        <w:rPr>
          <w:rFonts w:ascii="Times New Roman" w:hAnsi="Times New Roman"/>
          <w:b/>
          <w:szCs w:val="24"/>
        </w:rPr>
      </w:pPr>
    </w:p>
    <w:p w:rsidR="00AD4857" w:rsidRDefault="00CE4A72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Типовые тестовые задания для оценки сформированности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__УК - 7___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качеств в процессе уроков  физкультуры в школах и ВУЗах.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AD4857" w:rsidRDefault="00CE4A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из перечисленного не относится к общеметодическим принципам: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Наглядность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Сознательность и активность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Бег на короткие дистанции составляет –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1. 400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2. 800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3. 100 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 одному из видов лёгкой атлетики не относится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Прыжок в высоту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Прыжок с шестом</w:t>
      </w:r>
    </w:p>
    <w:p w:rsidR="00AD4857" w:rsidRDefault="00CE4A72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Прыжок в воду</w:t>
      </w:r>
    </w:p>
    <w:p w:rsidR="00AD4857" w:rsidRDefault="00AD4857">
      <w:pPr>
        <w:pStyle w:val="af2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AD4857" w:rsidRDefault="00CE4A72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Типовые задания/задачи для оценки сформированности компетенции</w:t>
      </w:r>
    </w:p>
    <w:p w:rsidR="00AD4857" w:rsidRDefault="00CE4A7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Задания для оценки сформированности умений и навыков компетенции УК-7 </w:t>
      </w:r>
      <w:r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AD4857" w:rsidRDefault="00CE4A72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AD4857" w:rsidRDefault="00CE4A7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1.  Техники бега на короткие дистанции </w:t>
      </w:r>
    </w:p>
    <w:p w:rsidR="00AD4857" w:rsidRDefault="00CE4A7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Задание 2.  Техники бега на средние дистанции</w:t>
      </w:r>
    </w:p>
    <w:p w:rsidR="00AD4857" w:rsidRDefault="00CE4A72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3.  Техника выполнения прыжков в длину </w:t>
      </w:r>
    </w:p>
    <w:p w:rsidR="00AD4857" w:rsidRDefault="00AD4857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AD4857" w:rsidRDefault="00CE4A72">
      <w:pPr>
        <w:numPr>
          <w:ilvl w:val="0"/>
          <w:numId w:val="7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AD4857" w:rsidRDefault="00CE4A72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28"/>
        <w:gridCol w:w="708"/>
        <w:gridCol w:w="709"/>
      </w:tblGrid>
      <w:tr w:rsidR="00AD4857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AD4857">
            <w:pPr>
              <w:pStyle w:val="af7"/>
              <w:widowControl w:val="0"/>
              <w:rPr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AD4857">
        <w:trPr>
          <w:trHeight w:val="476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Подъём ног к перекладине в висе(кол-во)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D4857">
        <w:trPr>
          <w:trHeight w:val="292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</w:pPr>
            <w:r>
              <w:t>Прыжки в длину с места (см)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</w:pPr>
            <w:r>
              <w:t>170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</w:pPr>
            <w:r>
              <w:t>210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4857" w:rsidRDefault="00CE4A72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90"/>
        <w:gridCol w:w="659"/>
        <w:gridCol w:w="696"/>
      </w:tblGrid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AD4857" w:rsidRDefault="00CE4A72">
            <w:pPr>
              <w:pStyle w:val="af7"/>
              <w:widowControl w:val="0"/>
            </w:pPr>
            <w:r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AD4857">
            <w:pPr>
              <w:pStyle w:val="af7"/>
              <w:widowControl w:val="0"/>
              <w:rPr>
                <w:sz w:val="24"/>
                <w:szCs w:val="24"/>
              </w:rPr>
            </w:pPr>
          </w:p>
          <w:p w:rsidR="00AD4857" w:rsidRDefault="00CE4A72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857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Исх. положение о.с. упор присев, упор лежа  и.п.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AD4857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57" w:rsidRDefault="00AD485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4857">
        <w:trPr>
          <w:trHeight w:val="269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Прыжки в длину с места (см)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D4857" w:rsidRDefault="00CE4A72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</w:tbl>
    <w:p w:rsidR="00AD4857" w:rsidRDefault="00AD4857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</w:p>
    <w:p w:rsidR="00AD4857" w:rsidRDefault="00CE4A72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Темы рефератов</w:t>
      </w:r>
    </w:p>
    <w:p w:rsidR="00AD4857" w:rsidRDefault="00CE4A72">
      <w:pPr>
        <w:pStyle w:val="af2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оценки сформированности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 компоненты УК-7 применяется собеседование и подготовка рефератов и сообщений</w:t>
      </w:r>
    </w:p>
    <w:p w:rsidR="00AD4857" w:rsidRDefault="00CE4A72">
      <w:pPr>
        <w:pStyle w:val="af2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>
        <w:rPr>
          <w:rFonts w:ascii="Times New Roman" w:hAnsi="Times New Roman"/>
          <w:b/>
          <w:bCs/>
          <w:i/>
          <w:sz w:val="24"/>
          <w:szCs w:val="24"/>
        </w:rPr>
        <w:t>(УК-7)</w:t>
      </w:r>
    </w:p>
    <w:p w:rsidR="00AD4857" w:rsidRDefault="00CE4A72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AD4857" w:rsidRDefault="002C4308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>
        <w:r w:rsidR="00CE4A72">
          <w:rPr>
            <w:rFonts w:ascii="Times New Roman" w:hAnsi="Times New Roman"/>
            <w:color w:val="000000"/>
            <w:sz w:val="24"/>
            <w:szCs w:val="24"/>
          </w:rPr>
          <w:t>Физическая культура как одна из сфер жизни человека</w:t>
        </w:r>
      </w:hyperlink>
    </w:p>
    <w:p w:rsidR="00AD4857" w:rsidRDefault="002C4308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>
        <w:r w:rsidR="00CE4A72">
          <w:rPr>
            <w:rFonts w:ascii="Times New Roman" w:hAnsi="Times New Roman"/>
            <w:color w:val="000000"/>
            <w:sz w:val="24"/>
            <w:szCs w:val="24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AD4857" w:rsidRDefault="002C4308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>
        <w:r w:rsidR="00CE4A72">
          <w:rPr>
            <w:rFonts w:ascii="Times New Roman" w:hAnsi="Times New Roman"/>
            <w:color w:val="000000"/>
            <w:sz w:val="24"/>
            <w:szCs w:val="24"/>
          </w:rPr>
          <w:t>Основы методики и организация самостоятельных занятий физическими упражнениями</w:t>
        </w:r>
      </w:hyperlink>
    </w:p>
    <w:p w:rsidR="00AD4857" w:rsidRDefault="00CE4A72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AD4857" w:rsidRDefault="00AD4857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D4857" w:rsidRDefault="00CE4A72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4.Физическая культура в структуре профессиональной деятельности.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AD4857" w:rsidRDefault="00CE4A72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7.Задачи программы ГТО.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13.Общее представление о строении тела человека.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14.Понятие об органах и физиологических системах организма человека.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15.Физиологическая характеристика утомления и восстановления.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16.Понятие «здоровье», его содержание и критерии.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17.Основы методики самостоятельных занятий физическими упражнениями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18.Основы здорового образа жизни студента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AD4857" w:rsidRDefault="00CE4A72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AD4857" w:rsidRDefault="00CE4A72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C57E3C" w:rsidRPr="00790765" w:rsidRDefault="00C57E3C" w:rsidP="00C57E3C">
      <w:pPr>
        <w:spacing w:after="0" w:line="240" w:lineRule="auto"/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а</w:t>
      </w:r>
      <w:r w:rsidRPr="00790765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)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Основная</w:t>
      </w:r>
      <w:r w:rsidRPr="00790765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литература</w:t>
      </w:r>
    </w:p>
    <w:p w:rsidR="00C57E3C" w:rsidRPr="00790765" w:rsidRDefault="00C57E3C" w:rsidP="00C57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90765">
        <w:rPr>
          <w:rFonts w:ascii="Times New Roman" w:hAnsi="Times New Roman"/>
          <w:color w:val="000000"/>
          <w:sz w:val="24"/>
          <w:szCs w:val="24"/>
          <w:lang w:val="en-US"/>
        </w:rPr>
        <w:t xml:space="preserve">1.Timothy Lynch The Future of Health, Wellbeing and Physical Education(2016) </w:t>
      </w:r>
      <w:hyperlink r:id="rId12" w:history="1">
        <w:r w:rsidRPr="00790765">
          <w:rPr>
            <w:rStyle w:val="afc"/>
            <w:lang w:val="en-US"/>
          </w:rPr>
          <w:t>https://link.springer.com/book/10.1007/978-3-319-31667-3</w:t>
        </w:r>
      </w:hyperlink>
    </w:p>
    <w:p w:rsidR="00C57E3C" w:rsidRPr="00790765" w:rsidRDefault="00C57E3C" w:rsidP="00C57E3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б</w:t>
      </w:r>
      <w:r w:rsidRPr="00790765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Дополнительная</w:t>
      </w:r>
      <w:r w:rsidRPr="0079076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литература</w:t>
      </w:r>
    </w:p>
    <w:p w:rsidR="00C57E3C" w:rsidRPr="00790765" w:rsidRDefault="00C57E3C" w:rsidP="00C57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1.</w:t>
      </w:r>
      <w:r w:rsidRPr="00790765">
        <w:rPr>
          <w:rFonts w:ascii="Times New Roman" w:hAnsi="Times New Roman"/>
          <w:color w:val="000000"/>
          <w:sz w:val="24"/>
          <w:szCs w:val="24"/>
          <w:lang w:val="en-US"/>
        </w:rPr>
        <w:t xml:space="preserve">Alan Ovens Self-Study in Physical Education Teacher Education (2014) </w:t>
      </w:r>
      <w:hyperlink r:id="rId13" w:history="1">
        <w:r w:rsidRPr="00790765">
          <w:rPr>
            <w:rStyle w:val="afc"/>
            <w:lang w:val="en-US"/>
          </w:rPr>
          <w:t>https://link.springer.com/book/10.1007/978-3-319-05663-0</w:t>
        </w:r>
      </w:hyperlink>
    </w:p>
    <w:p w:rsidR="00C57E3C" w:rsidRPr="00790765" w:rsidRDefault="00C57E3C" w:rsidP="00C57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Pr="00790765">
        <w:rPr>
          <w:rFonts w:ascii="Times New Roman" w:hAnsi="Times New Roman"/>
          <w:color w:val="000000"/>
          <w:sz w:val="24"/>
          <w:szCs w:val="24"/>
          <w:lang w:val="en-US"/>
        </w:rPr>
        <w:t>Louise Mansfield, Jayne Caudwell The Palgrave Handbook of Feminism and Sport, Leisure and Physical Education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2020</w:t>
      </w:r>
      <w:r w:rsidRPr="00790765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hyperlink r:id="rId14" w:history="1">
        <w:r w:rsidRPr="00790765">
          <w:rPr>
            <w:rStyle w:val="afc"/>
            <w:lang w:val="en-US"/>
          </w:rPr>
          <w:t>https://link.springer.com/book/10.1057/978-1-137-53318-0</w:t>
        </w:r>
      </w:hyperlink>
    </w:p>
    <w:p w:rsidR="00C57E3C" w:rsidRPr="000518FB" w:rsidRDefault="00C57E3C" w:rsidP="00C57E3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D4857" w:rsidRPr="00C57E3C" w:rsidRDefault="00AD4857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AD4857" w:rsidRDefault="00CE4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AD4857" w:rsidRDefault="00AD485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D4857" w:rsidRDefault="00CE4A7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5">
        <w:r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AD4857" w:rsidRDefault="00CE4A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6">
        <w:r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AD4857" w:rsidRDefault="00CE4A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7">
        <w:r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AD4857" w:rsidRDefault="002C430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tgtFrame="_blank">
        <w:r w:rsidR="00CE4A72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CE4A72">
        <w:rPr>
          <w:rFonts w:ascii="Times New Roman" w:hAnsi="Times New Roman"/>
          <w:sz w:val="24"/>
          <w:szCs w:val="24"/>
        </w:rPr>
        <w:t xml:space="preserve"> http://bmsi.ru/</w:t>
      </w:r>
    </w:p>
    <w:p w:rsidR="00AD4857" w:rsidRDefault="00CE4A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AD4857" w:rsidRDefault="00CE4A72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19" w:tgtFrame="_blank">
        <w:r>
          <w:rPr>
            <w:rFonts w:ascii="Times New Roman" w:hAnsi="Times New Roman"/>
            <w:sz w:val="24"/>
            <w:szCs w:val="24"/>
          </w:rPr>
          <w:t xml:space="preserve">http: //olympic.org/ uk/organisation /if/index_uk.asp </w:t>
        </w:r>
      </w:hyperlink>
    </w:p>
    <w:p w:rsidR="00AD4857" w:rsidRDefault="00CE4A72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20" w:tgtFrame="_blank">
        <w:r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AD4857" w:rsidRDefault="00CE4A72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паралимпийский комитет </w:t>
      </w:r>
      <w:hyperlink r:id="rId21" w:tgtFrame="_blank">
        <w:r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AD4857" w:rsidRDefault="00CE4A72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AD4857" w:rsidRDefault="00AD485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AD4857" w:rsidRDefault="00AD485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AD4857" w:rsidRDefault="00CE4A72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AD4857" w:rsidRDefault="00CE4A72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лекционная аудитория, мультимедиа-проектор, компьютер, комплект методических материалов;</w:t>
      </w:r>
    </w:p>
    <w:p w:rsidR="00AD4857" w:rsidRDefault="00CE4A7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AD4857" w:rsidRDefault="00CE4A7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AD4857" w:rsidRDefault="00CE4A72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AD4857" w:rsidRDefault="00CE4A7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AD4857" w:rsidRDefault="00CE4A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4857" w:rsidRDefault="00CE4A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AD4857" w:rsidRDefault="00AD4857">
      <w:pPr>
        <w:jc w:val="both"/>
        <w:rPr>
          <w:rFonts w:ascii="Times New Roman" w:hAnsi="Times New Roman"/>
          <w:sz w:val="18"/>
          <w:szCs w:val="18"/>
        </w:rPr>
      </w:pPr>
    </w:p>
    <w:p w:rsidR="00097780" w:rsidRDefault="00097780" w:rsidP="00097780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AD4857" w:rsidRDefault="00AD4857">
      <w:pPr>
        <w:jc w:val="both"/>
        <w:rPr>
          <w:rFonts w:ascii="Times New Roman" w:hAnsi="Times New Roman"/>
          <w:sz w:val="24"/>
          <w:szCs w:val="24"/>
        </w:rPr>
      </w:pP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p w:rsidR="00AD4857" w:rsidRDefault="00CE4A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____Великанов П.В.</w:t>
      </w:r>
      <w:r w:rsidR="00097780">
        <w:rPr>
          <w:rFonts w:ascii="Times New Roman" w:hAnsi="Times New Roman"/>
          <w:sz w:val="24"/>
          <w:szCs w:val="24"/>
        </w:rPr>
        <w:t xml:space="preserve">  Гутко А.В</w:t>
      </w:r>
      <w:r>
        <w:rPr>
          <w:rFonts w:ascii="Times New Roman" w:hAnsi="Times New Roman"/>
          <w:sz w:val="24"/>
          <w:szCs w:val="24"/>
        </w:rPr>
        <w:t>_________</w:t>
      </w:r>
    </w:p>
    <w:p w:rsidR="00097780" w:rsidRDefault="00097780" w:rsidP="00097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:rsidR="00097780" w:rsidRDefault="00097780" w:rsidP="0009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:rsidR="00097780" w:rsidRDefault="00097780">
      <w:pPr>
        <w:rPr>
          <w:rFonts w:ascii="Times New Roman" w:hAnsi="Times New Roman"/>
          <w:sz w:val="24"/>
          <w:szCs w:val="24"/>
        </w:rPr>
      </w:pPr>
    </w:p>
    <w:p w:rsidR="00AD4857" w:rsidRDefault="00CE4A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кафедрой________Кутасин А.Н.____________</w:t>
      </w: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p w:rsidR="00097780" w:rsidRPr="00402BC4" w:rsidRDefault="00097780" w:rsidP="00097780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402BC4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  протокол № 3 от 15.03.2021  .</w:t>
      </w:r>
    </w:p>
    <w:p w:rsidR="00AD4857" w:rsidRDefault="00AD4857">
      <w:pPr>
        <w:rPr>
          <w:rFonts w:ascii="Times New Roman" w:hAnsi="Times New Roman"/>
          <w:sz w:val="24"/>
          <w:szCs w:val="24"/>
        </w:rPr>
      </w:pPr>
    </w:p>
    <w:sectPr w:rsidR="00AD4857">
      <w:footerReference w:type="default" r:id="rId22"/>
      <w:pgSz w:w="11906" w:h="16838"/>
      <w:pgMar w:top="1134" w:right="991" w:bottom="766" w:left="28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72" w:rsidRDefault="00CE4A72">
      <w:pPr>
        <w:spacing w:after="0" w:line="240" w:lineRule="auto"/>
      </w:pPr>
      <w:r>
        <w:separator/>
      </w:r>
    </w:p>
  </w:endnote>
  <w:endnote w:type="continuationSeparator" w:id="0">
    <w:p w:rsidR="00CE4A72" w:rsidRDefault="00CE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57" w:rsidRDefault="00CE4A72">
    <w:pPr>
      <w:pStyle w:val="af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D4857" w:rsidRDefault="00CE4A72">
                          <w:pPr>
                            <w:pStyle w:val="af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C430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39.95pt;margin-top:.05pt;width:11.25pt;height:13.4pt;z-index:-5033164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AD4857" w:rsidRDefault="00CE4A72">
                    <w:pPr>
                      <w:pStyle w:val="af4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C430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72" w:rsidRDefault="00CE4A72">
      <w:pPr>
        <w:spacing w:after="0" w:line="240" w:lineRule="auto"/>
      </w:pPr>
      <w:r>
        <w:separator/>
      </w:r>
    </w:p>
  </w:footnote>
  <w:footnote w:type="continuationSeparator" w:id="0">
    <w:p w:rsidR="00CE4A72" w:rsidRDefault="00CE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A68"/>
    <w:multiLevelType w:val="multilevel"/>
    <w:tmpl w:val="77044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37C2C"/>
    <w:multiLevelType w:val="multilevel"/>
    <w:tmpl w:val="E2EC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756481"/>
    <w:multiLevelType w:val="multilevel"/>
    <w:tmpl w:val="CCB6FC5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B147CE0"/>
    <w:multiLevelType w:val="multilevel"/>
    <w:tmpl w:val="E62CC4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57F06CE6"/>
    <w:multiLevelType w:val="multilevel"/>
    <w:tmpl w:val="F70644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94D18BD"/>
    <w:multiLevelType w:val="multilevel"/>
    <w:tmpl w:val="88FE0C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9B263C"/>
    <w:multiLevelType w:val="multilevel"/>
    <w:tmpl w:val="2E0E24D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67EF1980"/>
    <w:multiLevelType w:val="multilevel"/>
    <w:tmpl w:val="E8C68E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abstractNum w:abstractNumId="8">
    <w:nsid w:val="6CD45A1B"/>
    <w:multiLevelType w:val="multilevel"/>
    <w:tmpl w:val="EE68C4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9">
    <w:nsid w:val="6F333F10"/>
    <w:multiLevelType w:val="multilevel"/>
    <w:tmpl w:val="10FA96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7CE406BF"/>
    <w:multiLevelType w:val="multilevel"/>
    <w:tmpl w:val="0C2086B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mirrorMargi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857"/>
    <w:rsid w:val="00097780"/>
    <w:rsid w:val="002C4308"/>
    <w:rsid w:val="00AD4857"/>
    <w:rsid w:val="00C57E3C"/>
    <w:rsid w:val="00C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Верхний колонтитул Знак"/>
    <w:uiPriority w:val="99"/>
    <w:qFormat/>
    <w:rsid w:val="006A4AA8"/>
    <w:rPr>
      <w:sz w:val="22"/>
      <w:szCs w:val="22"/>
    </w:rPr>
  </w:style>
  <w:style w:type="character" w:customStyle="1" w:styleId="FontStyle50">
    <w:name w:val="Font Style50"/>
    <w:qFormat/>
    <w:rsid w:val="00C70D8F"/>
    <w:rPr>
      <w:rFonts w:ascii="Cambria" w:hAnsi="Cambria" w:cs="Cambria"/>
      <w:sz w:val="20"/>
      <w:szCs w:val="20"/>
    </w:rPr>
  </w:style>
  <w:style w:type="character" w:customStyle="1" w:styleId="a5">
    <w:name w:val="Без интервала Знак"/>
    <w:uiPriority w:val="1"/>
    <w:qFormat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684CC2"/>
    <w:rPr>
      <w:color w:val="0000FF"/>
      <w:u w:val="single"/>
    </w:rPr>
  </w:style>
  <w:style w:type="character" w:styleId="a6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qFormat/>
    <w:rsid w:val="000E5541"/>
  </w:style>
  <w:style w:type="character" w:customStyle="1" w:styleId="a7">
    <w:name w:val="Посещённая гиперссылка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qFormat/>
    <w:rsid w:val="000E5541"/>
  </w:style>
  <w:style w:type="character" w:customStyle="1" w:styleId="a8">
    <w:name w:val="Основной текст с отступом Знак"/>
    <w:basedOn w:val="a0"/>
    <w:uiPriority w:val="99"/>
    <w:qFormat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FE32A3"/>
  </w:style>
  <w:style w:type="character" w:customStyle="1" w:styleId="a9">
    <w:name w:val="Название Знак"/>
    <w:basedOn w:val="a0"/>
    <w:uiPriority w:val="10"/>
    <w:qFormat/>
    <w:rsid w:val="0083608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">
    <w:name w:val="Средняя сетка 2 Знак"/>
    <w:qFormat/>
    <w:rPr>
      <w:rFonts w:ascii="Times New Roman" w:eastAsia="Times New Roman" w:hAnsi="Times New Roman"/>
      <w:sz w:val="22"/>
      <w:szCs w:val="22"/>
      <w:lang w:val="ru-RU" w:eastAsia="ar-SA"/>
    </w:rPr>
  </w:style>
  <w:style w:type="character" w:customStyle="1" w:styleId="1">
    <w:name w:val="Заголовок 1 Знак"/>
    <w:qFormat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a">
    <w:name w:val="Нижний колонтитул Знак"/>
    <w:qFormat/>
    <w:rPr>
      <w:sz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8z0">
    <w:name w:val="WW8Num28z0"/>
    <w:qFormat/>
    <w:rPr>
      <w:rFonts w:ascii="Times New Roman" w:eastAsia="Times New Roman" w:hAnsi="Times New Roman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/>
      <w:i w:val="0"/>
    </w:rPr>
  </w:style>
  <w:style w:type="character" w:customStyle="1" w:styleId="WW8Num26z1">
    <w:name w:val="WW8Num26z1"/>
    <w:qFormat/>
    <w:rPr>
      <w:i w:val="0"/>
    </w:rPr>
  </w:style>
  <w:style w:type="character" w:customStyle="1" w:styleId="WW8Num26z0">
    <w:name w:val="WW8Num26z0"/>
    <w:qFormat/>
    <w:rPr>
      <w:color w:val="000000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color w:val="00000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  <w:rPr>
      <w:sz w:val="24"/>
    </w:rPr>
  </w:style>
  <w:style w:type="character" w:customStyle="1" w:styleId="WW8Num21z1">
    <w:name w:val="WW8Num21z1"/>
    <w:qFormat/>
    <w:rPr>
      <w:sz w:val="24"/>
    </w:rPr>
  </w:style>
  <w:style w:type="character" w:customStyle="1" w:styleId="WW8Num21z0">
    <w:name w:val="WW8Num21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z w:val="24"/>
      <w:szCs w:val="24"/>
    </w:rPr>
  </w:style>
  <w:style w:type="character" w:customStyle="1" w:styleId="WW8Num18z1">
    <w:name w:val="WW8Num18z1"/>
    <w:qFormat/>
    <w:rPr>
      <w:b/>
      <w:i w:val="0"/>
      <w:color w:val="000000"/>
      <w:sz w:val="24"/>
    </w:rPr>
  </w:style>
  <w:style w:type="character" w:customStyle="1" w:styleId="WW8Num18z0">
    <w:name w:val="WW8Num18z0"/>
    <w:qFormat/>
    <w:rPr>
      <w:color w:val="000000"/>
      <w:sz w:val="24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  <w:rPr>
      <w:color w:val="000000"/>
    </w:rPr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1">
    <w:name w:val="WW8Num12z1"/>
    <w:qFormat/>
    <w:rPr>
      <w:i w:val="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9z1">
    <w:name w:val="WW8Num9z1"/>
    <w:qFormat/>
    <w:rPr>
      <w:b/>
      <w:i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/>
      <w:sz w:val="24"/>
      <w:szCs w:val="24"/>
    </w:rPr>
  </w:style>
  <w:style w:type="character" w:customStyle="1" w:styleId="WW8Num7z1">
    <w:name w:val="WW8Num7z1"/>
    <w:qFormat/>
    <w:rPr>
      <w:sz w:val="24"/>
    </w:rPr>
  </w:style>
  <w:style w:type="character" w:customStyle="1" w:styleId="WW8Num7z0">
    <w:name w:val="WW8Num7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color w:val="000000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/>
      <w:b/>
      <w:i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qFormat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2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E3215"/>
    <w:pPr>
      <w:widowControl w:val="0"/>
    </w:pPr>
    <w:rPr>
      <w:rFonts w:ascii="Arial" w:hAnsi="Arial" w:cs="Arial"/>
    </w:rPr>
  </w:style>
  <w:style w:type="paragraph" w:styleId="af5">
    <w:name w:val="header"/>
    <w:basedOn w:val="a"/>
    <w:uiPriority w:val="99"/>
    <w:unhideWhenUsed/>
    <w:rsid w:val="006A4AA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986DE0"/>
    <w:rPr>
      <w:rFonts w:ascii="Times New Roman" w:hAnsi="Times New Roman"/>
      <w:color w:val="000000"/>
      <w:sz w:val="24"/>
      <w:szCs w:val="24"/>
    </w:rPr>
  </w:style>
  <w:style w:type="paragraph" w:styleId="af6">
    <w:name w:val="List Number"/>
    <w:basedOn w:val="a"/>
    <w:qFormat/>
    <w:pPr>
      <w:widowControl w:val="0"/>
      <w:tabs>
        <w:tab w:val="left" w:pos="360"/>
      </w:tabs>
      <w:spacing w:after="0" w:line="240" w:lineRule="exact"/>
      <w:ind w:left="360"/>
      <w:jc w:val="both"/>
    </w:pPr>
    <w:rPr>
      <w:rFonts w:eastAsia="Calibri"/>
      <w:lang w:eastAsia="ar-SA"/>
    </w:rPr>
  </w:style>
  <w:style w:type="paragraph" w:styleId="af7">
    <w:name w:val="No Spacing"/>
    <w:uiPriority w:val="1"/>
    <w:qFormat/>
    <w:rsid w:val="00684CC2"/>
    <w:rPr>
      <w:rFonts w:ascii="Times New Roman" w:hAnsi="Times New Roman"/>
      <w:sz w:val="22"/>
      <w:szCs w:val="22"/>
    </w:rPr>
  </w:style>
  <w:style w:type="paragraph" w:styleId="af8">
    <w:name w:val="Body Text Indent"/>
    <w:basedOn w:val="a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9">
    <w:name w:val="Title"/>
    <w:basedOn w:val="a"/>
    <w:next w:val="a"/>
    <w:uiPriority w:val="10"/>
    <w:qFormat/>
    <w:rsid w:val="0083608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a">
    <w:name w:val="Содержимое врезки"/>
    <w:basedOn w:val="a"/>
    <w:qFormat/>
  </w:style>
  <w:style w:type="paragraph" w:customStyle="1" w:styleId="21">
    <w:name w:val="Средняя сетка 21"/>
    <w:qFormat/>
    <w:rPr>
      <w:rFonts w:ascii="Times New Roman" w:hAnsi="Times New Roman" w:cs="Liberation Serif"/>
      <w:kern w:val="2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pPr>
      <w:spacing w:after="0"/>
      <w:ind w:left="720"/>
      <w:contextualSpacing/>
      <w:jc w:val="both"/>
    </w:pPr>
    <w:rPr>
      <w:lang w:eastAsia="ar-SA"/>
    </w:rPr>
  </w:style>
  <w:style w:type="table" w:styleId="afb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rsid w:val="00C57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nk.springer.com/book/10.1007/978-3-319-05663-0" TargetMode="External"/><Relationship Id="rId18" Type="http://schemas.openxmlformats.org/officeDocument/2006/relationships/hyperlink" Target="http://bms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alympic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nk.springer.com/book/10.1007/978-3-319-31667-3" TargetMode="External"/><Relationship Id="rId17" Type="http://schemas.openxmlformats.org/officeDocument/2006/relationships/hyperlink" Target="http://www.takzdoro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smag.ru/" TargetMode="External"/><Relationship Id="rId20" Type="http://schemas.openxmlformats.org/officeDocument/2006/relationships/hyperlink" Target="http://www.olympic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ferati-besplatno.ru/osnovy-metodiki-i-organizaciya-samostoyatelnyx-zanyatij-fizicheskimi-uprazhneniyam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insport.gov.ru/sport/physical-cultur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9" Type="http://schemas.openxmlformats.org/officeDocument/2006/relationships/hyperlink" Target="http://olympic.org/uk/organisation/if/index_uk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ferati-besplatno.ru/fizicheskaya-kultura-kak-odna-iz-sfer-zhizni-cheloveka" TargetMode="External"/><Relationship Id="rId14" Type="http://schemas.openxmlformats.org/officeDocument/2006/relationships/hyperlink" Target="https://link.springer.com/book/10.1057/978-1-137-53318-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43FB-8B42-4AF3-8E6C-1AC79E55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4366</Words>
  <Characters>24888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Пользователь Windows</cp:lastModifiedBy>
  <cp:revision>7</cp:revision>
  <dcterms:created xsi:type="dcterms:W3CDTF">2021-04-16T21:39:00Z</dcterms:created>
  <dcterms:modified xsi:type="dcterms:W3CDTF">2021-06-29T19:43:00Z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