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Приложение 4</w:t>
      </w:r>
    </w:p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НАУКИ И ВЫСШЕГО ОБРАЗОВАНИЯ РОССИЙСКОЙ ФЕДЕРАЦИИ</w:t>
      </w:r>
    </w:p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Институт биологии и биомедицины 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решением ученого совета ННГУ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proofErr w:type="gramEnd"/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ind w:firstLine="4535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«16_» _____06___ 2021 г. № _8_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РАБОЧАЯ ПРОГРАММА</w:t>
      </w:r>
    </w:p>
    <w:p w:rsidR="00E558C4" w:rsidRDefault="003E3EB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ОЗНАКОМИТЕЛЬНАЯ</w:t>
      </w:r>
      <w:r w:rsidR="00A2745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ПРАКТИКА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Тип практики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Учебная практика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Направление подготовки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31.05.03 «Стоматология»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Специальность 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Стоматология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Квалификация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Специалист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 обучения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Нижний Новгород</w:t>
      </w:r>
    </w:p>
    <w:p w:rsidR="00E558C4" w:rsidRDefault="00A2745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2021 год</w:t>
      </w: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E558C4" w:rsidRDefault="00A274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Федерального государственного образовательного стандарта высшего образования по направлению </w:t>
      </w:r>
      <w:r w:rsidR="00DB17A1">
        <w:rPr>
          <w:rFonts w:ascii="Times New Roman" w:hAnsi="Times New Roman" w:cs="Times New Roman"/>
          <w:sz w:val="24"/>
          <w:szCs w:val="24"/>
        </w:rPr>
        <w:t>31.05.03 Стоматология</w:t>
      </w:r>
    </w:p>
    <w:p w:rsidR="00E558C4" w:rsidRDefault="00E558C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СОСТАВИТЕЛИ</w:t>
      </w:r>
      <w:r w:rsidR="00A274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8C4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К.м.н., доцент кафедры клинической медицины Алешина О. А.</w:t>
      </w:r>
    </w:p>
    <w:p w:rsidR="00DB17A1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клинической медицины Авдеева И.Н.</w:t>
      </w:r>
    </w:p>
    <w:p w:rsidR="00E558C4" w:rsidRDefault="00A27459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E558C4" w:rsidRDefault="00A2745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="00DB17A1">
        <w:rPr>
          <w:rFonts w:ascii="Times New Roman" w:hAnsi="Times New Roman" w:cs="Times New Roman"/>
          <w:sz w:val="24"/>
          <w:szCs w:val="24"/>
        </w:rPr>
        <w:t>Григорьева Н. Ю.</w:t>
      </w:r>
    </w:p>
    <w:p w:rsidR="00E558C4" w:rsidRDefault="00E55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C4" w:rsidRDefault="00E55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C4" w:rsidRDefault="00A2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комиссии  </w:t>
      </w:r>
      <w:r w:rsidR="00DB17A1">
        <w:rPr>
          <w:rFonts w:ascii="Times New Roman" w:hAnsi="Times New Roman" w:cs="Times New Roman"/>
          <w:sz w:val="24"/>
          <w:szCs w:val="24"/>
        </w:rPr>
        <w:t>ИББМ</w:t>
      </w:r>
    </w:p>
    <w:p w:rsidR="00E558C4" w:rsidRDefault="00DB1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«16 </w:t>
      </w:r>
      <w:r w:rsidR="00A2745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A2745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A27459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:rsidR="00E558C4" w:rsidRDefault="00E558C4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58C4" w:rsidRDefault="00E558C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A274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3E3EB9" w:rsidRPr="003E3EB9" w:rsidRDefault="003E3EB9" w:rsidP="003E3EB9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освоения практики.</w:t>
      </w:r>
    </w:p>
    <w:p w:rsidR="003E3EB9" w:rsidRPr="003E3EB9" w:rsidRDefault="003E3EB9" w:rsidP="003E3EB9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получение представлений об организации и принципах работы лечебно-профилактических учреждений; 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A0835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Задачами </w:t>
      </w:r>
      <w:r w:rsidR="003E3EB9">
        <w:rPr>
          <w:rFonts w:ascii="Times New Roman" w:eastAsia="Times New Roman" w:hAnsi="Times New Roman" w:cs="Times New Roman"/>
          <w:b/>
          <w:sz w:val="24"/>
          <w:lang w:eastAsia="ar-SA"/>
        </w:rPr>
        <w:t>ознакомительной</w:t>
      </w:r>
      <w:r w:rsidRPr="005A0835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 xml:space="preserve"> </w:t>
      </w:r>
      <w:r w:rsidRPr="005A0835">
        <w:rPr>
          <w:rFonts w:ascii="Times New Roman" w:eastAsia="Times New Roman" w:hAnsi="Times New Roman" w:cs="Times New Roman"/>
          <w:sz w:val="24"/>
          <w:lang w:eastAsia="ar-SA"/>
        </w:rPr>
        <w:t>являются: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ознакомление студентов с принципами организации и работы лечебно-профилактических учреждений различного типа;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овладение правилами и приёмами ухода за больными;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у студента навыков общения с коллективом, любви к избранной профессии;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практики в структуре образовательной программы</w:t>
      </w:r>
    </w:p>
    <w:p w:rsidR="005A0835" w:rsidRDefault="005A0835" w:rsidP="005A0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Клиническая практика </w:t>
      </w:r>
      <w:r w:rsidRPr="00516241">
        <w:rPr>
          <w:rFonts w:ascii="Times New Roman" w:hAnsi="Times New Roman"/>
          <w:sz w:val="24"/>
          <w:szCs w:val="28"/>
        </w:rPr>
        <w:t>(по получению навыков ухода за больными и выполнению назначений врачей)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обязательной дисциплиной базовой части Блока 2 «Практики, в том числе научно-исследовательская работа (НИР)» ОПОП по специальности 31.05.03 «Стоматология» и проводится во 2  семестре. 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Тип практики: клиническая практика (по получению навыков ухода за больными и выполнению назначений врачей).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Способ проведения: </w:t>
      </w:r>
      <w:proofErr w:type="gramStart"/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стационарная</w:t>
      </w:r>
      <w:proofErr w:type="gramEnd"/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, выездная.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Форма проведения: дискретная (</w:t>
      </w:r>
      <w:r w:rsidRPr="005A0835">
        <w:rPr>
          <w:rFonts w:ascii="Times New Roman" w:eastAsia="Times New Roman" w:hAnsi="Times New Roman" w:cs="Calibri"/>
          <w:sz w:val="24"/>
          <w:szCs w:val="24"/>
        </w:rPr>
        <w:t>путем выделения непрерывного периода учебного времени для проведения практики).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Общая трудоемкость практики составляет: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3 зачетных единиц,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108 часов,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2 недели.</w:t>
      </w:r>
    </w:p>
    <w:p w:rsidR="00E558C4" w:rsidRDefault="005A0835" w:rsidP="004013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D5D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800D5D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00D5D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 </w:t>
      </w:r>
      <w:r w:rsidR="0040134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40134A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Прохождение практики предусматривает: 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>а) контактную работу: лекции (</w:t>
      </w:r>
      <w:r w:rsidRPr="005A0835">
        <w:rPr>
          <w:rFonts w:ascii="Times New Roman" w:eastAsia="Times New Roman" w:hAnsi="Times New Roman" w:cs="Calibri"/>
          <w:sz w:val="24"/>
          <w:szCs w:val="24"/>
        </w:rPr>
        <w:t>2 часа)</w:t>
      </w:r>
      <w:r w:rsidRPr="005A0835">
        <w:rPr>
          <w:rFonts w:ascii="Times New Roman" w:eastAsia="Times New Roman" w:hAnsi="Times New Roman" w:cs="Calibri"/>
          <w:i/>
          <w:sz w:val="24"/>
          <w:szCs w:val="24"/>
        </w:rPr>
        <w:t>,</w:t>
      </w:r>
      <w:r w:rsidR="003E3EB9">
        <w:rPr>
          <w:rFonts w:ascii="Times New Roman" w:eastAsia="Times New Roman" w:hAnsi="Times New Roman" w:cs="Calibri"/>
          <w:sz w:val="24"/>
          <w:szCs w:val="24"/>
        </w:rPr>
        <w:t xml:space="preserve"> практические занятия (56</w:t>
      </w:r>
      <w:r w:rsidRPr="005A0835">
        <w:rPr>
          <w:rFonts w:ascii="Times New Roman" w:eastAsia="Times New Roman" w:hAnsi="Times New Roman" w:cs="Calibri"/>
          <w:sz w:val="24"/>
          <w:szCs w:val="24"/>
        </w:rPr>
        <w:t xml:space="preserve"> часов), контроль самостоятельной работы (2 часа),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>б) иную работу-взаимодействие с медицинским персоналом и пациентами в медицинском учреждении (</w:t>
      </w:r>
      <w:r w:rsidR="003E3EB9">
        <w:rPr>
          <w:rFonts w:ascii="Times New Roman" w:eastAsia="Times New Roman" w:hAnsi="Times New Roman" w:cs="Calibri"/>
          <w:bCs/>
          <w:sz w:val="24"/>
          <w:szCs w:val="24"/>
        </w:rPr>
        <w:t>на</w:t>
      </w: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 базе пра</w:t>
      </w:r>
      <w:r w:rsidR="003E3EB9">
        <w:rPr>
          <w:rFonts w:ascii="Times New Roman" w:eastAsia="Times New Roman" w:hAnsi="Times New Roman" w:cs="Calibri"/>
          <w:bCs/>
          <w:sz w:val="24"/>
          <w:szCs w:val="24"/>
        </w:rPr>
        <w:t>ктики) (48</w:t>
      </w: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 часов).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E558C4" w:rsidRDefault="00A27459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3. Место и сроки проведения практики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3E3E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E558C4" w:rsidTr="0040134A">
        <w:tc>
          <w:tcPr>
            <w:tcW w:w="4776" w:type="dxa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обучения</w:t>
            </w:r>
          </w:p>
        </w:tc>
        <w:tc>
          <w:tcPr>
            <w:tcW w:w="5078" w:type="dxa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E558C4" w:rsidTr="0040134A">
        <w:tc>
          <w:tcPr>
            <w:tcW w:w="4776" w:type="dxa"/>
          </w:tcPr>
          <w:p w:rsidR="00E558C4" w:rsidRDefault="00A27459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E558C4" w:rsidRDefault="0040134A" w:rsidP="0040134A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45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2745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</w:tbl>
    <w:p w:rsidR="0040134A" w:rsidRDefault="00A27459" w:rsidP="0040134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проводится в форме практической подготовки </w:t>
      </w:r>
      <w:r w:rsidR="0040134A" w:rsidRPr="001857C6">
        <w:rPr>
          <w:rFonts w:ascii="Times New Roman" w:hAnsi="Times New Roman"/>
          <w:sz w:val="24"/>
          <w:szCs w:val="24"/>
        </w:rPr>
        <w:t xml:space="preserve">на базе </w:t>
      </w:r>
      <w:r w:rsidR="0040134A">
        <w:rPr>
          <w:rFonts w:ascii="Times New Roman" w:eastAsia="Calibri" w:hAnsi="Times New Roman"/>
          <w:sz w:val="24"/>
          <w:szCs w:val="24"/>
        </w:rPr>
        <w:t>Приволжского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окружно</w:t>
      </w:r>
      <w:r w:rsidR="0040134A">
        <w:rPr>
          <w:rFonts w:ascii="Times New Roman" w:eastAsia="Calibri" w:hAnsi="Times New Roman"/>
          <w:sz w:val="24"/>
          <w:szCs w:val="24"/>
        </w:rPr>
        <w:t>го медицинского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центр</w:t>
      </w:r>
      <w:r w:rsidR="0040134A">
        <w:rPr>
          <w:rFonts w:ascii="Times New Roman" w:eastAsia="Calibri" w:hAnsi="Times New Roman"/>
          <w:sz w:val="24"/>
          <w:szCs w:val="24"/>
        </w:rPr>
        <w:t>а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(ФБУЗ ПОМЦ ФМБА, Нижний Новгород)</w:t>
      </w:r>
      <w:r w:rsidR="0040134A">
        <w:rPr>
          <w:rFonts w:ascii="Times New Roman" w:eastAsia="Calibri" w:hAnsi="Times New Roman"/>
          <w:sz w:val="24"/>
          <w:szCs w:val="24"/>
        </w:rPr>
        <w:t xml:space="preserve">, согласно «Положению о практике </w:t>
      </w:r>
      <w:proofErr w:type="gramStart"/>
      <w:r w:rsidR="0040134A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="0040134A">
        <w:rPr>
          <w:rFonts w:ascii="Times New Roman" w:eastAsia="Calibri" w:hAnsi="Times New Roman"/>
          <w:sz w:val="24"/>
          <w:szCs w:val="24"/>
        </w:rPr>
        <w:t xml:space="preserve">, осваивающих основные профессиональные образовательные программы высшего образования в ННГУ». </w:t>
      </w:r>
    </w:p>
    <w:p w:rsidR="00E558C4" w:rsidRDefault="00A27459" w:rsidP="0040134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E558C4" w:rsidRDefault="00A27459" w:rsidP="00401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Перечисленные ниже компетенции, формируемые  в ходе проведения</w:t>
      </w:r>
      <w:r w:rsidRPr="0040134A">
        <w:rPr>
          <w:rFonts w:ascii="Times New Roman" w:hAnsi="Times New Roman" w:cs="Times New Roman"/>
          <w:sz w:val="24"/>
          <w:szCs w:val="24"/>
        </w:rPr>
        <w:t xml:space="preserve"> 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134A" w:rsidRPr="00DE569B">
        <w:rPr>
          <w:rFonts w:ascii="Times New Roman" w:hAnsi="Times New Roman"/>
          <w:sz w:val="24"/>
          <w:szCs w:val="24"/>
        </w:rPr>
        <w:t>В результате обучения</w:t>
      </w:r>
      <w:r w:rsidR="0040134A">
        <w:rPr>
          <w:rFonts w:ascii="Times New Roman" w:hAnsi="Times New Roman"/>
          <w:sz w:val="24"/>
          <w:szCs w:val="24"/>
        </w:rPr>
        <w:t>,</w:t>
      </w:r>
      <w:r w:rsidR="0040134A" w:rsidRPr="00DE569B">
        <w:rPr>
          <w:rFonts w:ascii="Times New Roman" w:hAnsi="Times New Roman"/>
          <w:sz w:val="24"/>
          <w:szCs w:val="24"/>
        </w:rPr>
        <w:t xml:space="preserve"> </w:t>
      </w:r>
      <w:r w:rsidR="0040134A">
        <w:rPr>
          <w:rFonts w:ascii="Times New Roman" w:hAnsi="Times New Roman"/>
          <w:sz w:val="24"/>
          <w:szCs w:val="24"/>
        </w:rPr>
        <w:t>обучающиеся</w:t>
      </w:r>
      <w:r w:rsidR="0040134A" w:rsidRPr="00DE569B">
        <w:rPr>
          <w:rFonts w:ascii="Times New Roman" w:hAnsi="Times New Roman"/>
          <w:sz w:val="24"/>
          <w:szCs w:val="24"/>
        </w:rPr>
        <w:t xml:space="preserve"> получают представление о</w:t>
      </w:r>
      <w:r w:rsidR="0040134A">
        <w:rPr>
          <w:rFonts w:ascii="Times New Roman" w:hAnsi="Times New Roman"/>
          <w:sz w:val="24"/>
          <w:szCs w:val="24"/>
        </w:rPr>
        <w:t>б</w:t>
      </w:r>
      <w:r w:rsidR="0040134A" w:rsidRPr="00DE569B">
        <w:rPr>
          <w:rFonts w:ascii="Times New Roman" w:hAnsi="Times New Roman"/>
          <w:sz w:val="24"/>
          <w:szCs w:val="24"/>
        </w:rPr>
        <w:t xml:space="preserve"> </w:t>
      </w:r>
      <w:r w:rsidR="0040134A">
        <w:rPr>
          <w:rFonts w:ascii="Times New Roman" w:hAnsi="Times New Roman"/>
          <w:sz w:val="24"/>
          <w:szCs w:val="24"/>
        </w:rPr>
        <w:t>организации работы больницы, правилах поведения и общения с пациентами</w:t>
      </w:r>
      <w:r w:rsidR="0040134A"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40134A">
        <w:rPr>
          <w:rFonts w:ascii="Times New Roman" w:hAnsi="Times New Roman"/>
          <w:sz w:val="24"/>
          <w:szCs w:val="24"/>
        </w:rPr>
        <w:t>профессиональные задачи помощника младшего медицинского персонала и применять на практике полученные умения</w:t>
      </w:r>
      <w:r w:rsidR="0040134A" w:rsidRPr="00DE569B">
        <w:rPr>
          <w:rFonts w:ascii="Times New Roman" w:hAnsi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40134A">
        <w:rPr>
          <w:rFonts w:ascii="Times New Roman" w:hAnsi="Times New Roman"/>
          <w:sz w:val="24"/>
          <w:szCs w:val="24"/>
        </w:rPr>
        <w:t>критической оценки результатов своей деятельности</w:t>
      </w:r>
      <w:r w:rsidR="0040134A" w:rsidRPr="00DE569B">
        <w:rPr>
          <w:rFonts w:ascii="Times New Roman" w:hAnsi="Times New Roman"/>
          <w:sz w:val="24"/>
          <w:szCs w:val="24"/>
        </w:rPr>
        <w:t>.</w:t>
      </w:r>
    </w:p>
    <w:p w:rsidR="00E558C4" w:rsidRDefault="00A274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DC076E" w:rsidTr="00427725">
        <w:trPr>
          <w:trHeight w:val="566"/>
          <w:tblHeader/>
        </w:trPr>
        <w:tc>
          <w:tcPr>
            <w:tcW w:w="3577" w:type="dxa"/>
          </w:tcPr>
          <w:p w:rsidR="00DC076E" w:rsidRDefault="00DC076E" w:rsidP="004277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DC076E" w:rsidRDefault="00DC076E" w:rsidP="004277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DC076E" w:rsidRDefault="00DC076E" w:rsidP="004277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DC076E" w:rsidRDefault="00DC076E" w:rsidP="004277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DC076E" w:rsidTr="00427725">
        <w:trPr>
          <w:trHeight w:val="841"/>
        </w:trPr>
        <w:tc>
          <w:tcPr>
            <w:tcW w:w="3577" w:type="dxa"/>
          </w:tcPr>
          <w:p w:rsidR="00DC076E" w:rsidRPr="005336C4" w:rsidRDefault="00DC076E" w:rsidP="0042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C4">
              <w:rPr>
                <w:rFonts w:ascii="Times New Roman" w:hAnsi="Times New Roman" w:cs="Times New Roman"/>
                <w:sz w:val="24"/>
                <w:szCs w:val="24"/>
              </w:rPr>
              <w:t>ОПК-1 :</w:t>
            </w:r>
            <w:proofErr w:type="gramStart"/>
            <w:r w:rsidRPr="005336C4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336C4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DC076E" w:rsidRDefault="00DC076E" w:rsidP="0042772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</w:tcPr>
          <w:p w:rsidR="00DC076E" w:rsidRPr="005336C4" w:rsidRDefault="00DC076E" w:rsidP="00427725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ОПК-1.1</w:t>
            </w:r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Знать принципы реализации моральных и правовых норм, этические и деонтологические принципы в профессиональной деятельности</w:t>
            </w:r>
          </w:p>
          <w:p w:rsidR="00DC076E" w:rsidRPr="005336C4" w:rsidRDefault="00DC076E" w:rsidP="00427725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ОПК-1.2</w:t>
            </w:r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DC076E" w:rsidRDefault="00DC076E" w:rsidP="0042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ОПК-1.3.</w:t>
            </w:r>
            <w:proofErr w:type="gramStart"/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опытом реализации моральных и правовых норм, этические и деонтологические принципы в профессиональной деятельности</w:t>
            </w:r>
          </w:p>
        </w:tc>
      </w:tr>
      <w:tr w:rsidR="00DC076E" w:rsidTr="00427725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6E" w:rsidRDefault="00DC076E" w:rsidP="004277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76E" w:rsidRPr="005336C4" w:rsidRDefault="00DC076E" w:rsidP="00427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ОПК-10.</w:t>
            </w:r>
            <w:r w:rsidRPr="00F7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BD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70B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работу младшего и среднего медицинского персонала по уходу за больными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6E" w:rsidRPr="00F70BD3" w:rsidRDefault="00DC076E" w:rsidP="00427725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ОПК-10.1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Знать способы организации работы младшего и среднего медицинского персонала по уходу за больными</w:t>
            </w:r>
          </w:p>
          <w:p w:rsidR="00DC076E" w:rsidRPr="00F70BD3" w:rsidRDefault="00DC076E" w:rsidP="00427725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ОПК-10.2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организовывать работу младшего и среднего медицинского персонала по уходу за больными</w:t>
            </w:r>
          </w:p>
          <w:p w:rsidR="00DC076E" w:rsidRDefault="00DC076E" w:rsidP="0042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ОПК-10.3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навыком организации работы младшего и среднего медицинского персонала по уходу за больными</w:t>
            </w:r>
          </w:p>
        </w:tc>
      </w:tr>
    </w:tbl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прохождения практики в форме практической подготовки состоит из этапов: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подготовительный;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основной;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E558C4" w:rsidRDefault="00E558C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58C4" w:rsidRDefault="00A2745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p w:rsidR="00E558C4" w:rsidRDefault="00A27459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90"/>
        <w:gridCol w:w="6480"/>
      </w:tblGrid>
      <w:tr w:rsidR="003D15D2" w:rsidTr="00427725">
        <w:tc>
          <w:tcPr>
            <w:tcW w:w="2268" w:type="dxa"/>
          </w:tcPr>
          <w:p w:rsidR="003D15D2" w:rsidRPr="002E7B27" w:rsidRDefault="003D15D2" w:rsidP="004277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1090" w:type="dxa"/>
          </w:tcPr>
          <w:p w:rsidR="003D15D2" w:rsidRPr="002E7B27" w:rsidRDefault="003D15D2" w:rsidP="004277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Трудоемкость (ч</w:t>
            </w: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асы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3D15D2" w:rsidRPr="002E7B27" w:rsidRDefault="003D15D2" w:rsidP="004277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этапа</w:t>
            </w:r>
          </w:p>
        </w:tc>
      </w:tr>
      <w:tr w:rsidR="003D15D2" w:rsidTr="00427725">
        <w:trPr>
          <w:trHeight w:val="293"/>
        </w:trPr>
        <w:tc>
          <w:tcPr>
            <w:tcW w:w="2268" w:type="dxa"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Подготовительный </w:t>
            </w: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0624">
              <w:rPr>
                <w:rFonts w:ascii="Times New Roman" w:hAnsi="Times New Roman"/>
                <w:sz w:val="20"/>
                <w:szCs w:val="20"/>
              </w:rPr>
              <w:t>Знакомство с правилами внутреннего распорядка больницы, режимом работы, правилами противопожарной, санитарно-эпидемиологической безопасности, охраны труда</w:t>
            </w:r>
          </w:p>
        </w:tc>
      </w:tr>
      <w:tr w:rsidR="003D15D2" w:rsidTr="00427725">
        <w:trPr>
          <w:trHeight w:val="691"/>
        </w:trPr>
        <w:tc>
          <w:tcPr>
            <w:tcW w:w="2268" w:type="dxa"/>
            <w:vMerge w:val="restart"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Основной </w:t>
            </w: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Стерилизация операционной одежды, белья, хирургических перчаток, перевязочного и шовного материала, хирургического инструментария, дренажей.</w:t>
            </w:r>
          </w:p>
        </w:tc>
      </w:tr>
      <w:tr w:rsidR="003D15D2" w:rsidTr="00427725">
        <w:trPr>
          <w:trHeight w:val="419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Использование одноразового материала и инструментария. Упаковка и хранение стерильного материала. Контроль стерильности.</w:t>
            </w:r>
          </w:p>
        </w:tc>
      </w:tr>
      <w:tr w:rsidR="003D15D2" w:rsidTr="00427725">
        <w:trPr>
          <w:trHeight w:val="419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Обеспечение антисептики в хирургическом отделении. Вентиляция, очистка, ультрафиолетовое облучение и другие методы обработки воздуха.</w:t>
            </w:r>
          </w:p>
        </w:tc>
      </w:tr>
      <w:tr w:rsidR="003D15D2" w:rsidTr="00427725">
        <w:trPr>
          <w:trHeight w:val="419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Общие правила, техника и современные способы обработки рук перед операцией. Облачение в стерильную одежду, одевание, ношение и смена резиновых перчаток.</w:t>
            </w:r>
          </w:p>
        </w:tc>
      </w:tr>
      <w:tr w:rsidR="003D15D2" w:rsidTr="00427725">
        <w:trPr>
          <w:trHeight w:val="419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Клиническая гигиена в стационаре: Особенности санитарно-гигиенического режима в стационаре. Санитарная обработка помещений, мебели, медоборудования, инструментария.</w:t>
            </w:r>
          </w:p>
        </w:tc>
      </w:tr>
      <w:tr w:rsidR="003D15D2" w:rsidTr="00427725">
        <w:trPr>
          <w:trHeight w:val="419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Лабораторные исследования и прививки, проводимые персоналу.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8A">
              <w:rPr>
                <w:rFonts w:ascii="Times New Roman" w:hAnsi="Times New Roman" w:cs="Times New Roman"/>
                <w:sz w:val="20"/>
                <w:szCs w:val="20"/>
              </w:rPr>
              <w:t>Правила работы с биологическими материалами.</w:t>
            </w:r>
          </w:p>
        </w:tc>
      </w:tr>
      <w:tr w:rsidR="003D15D2" w:rsidTr="00427725">
        <w:trPr>
          <w:trHeight w:val="170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Уход за пациентами – элемент лечения, обеспечивающий качество обслуживания пациентов в медицинском учреждении. Помощь больными в осуществлении физиологических потребностей: питание, утоление жажды, гигиенические процедуры.</w:t>
            </w:r>
          </w:p>
        </w:tc>
      </w:tr>
      <w:tr w:rsidR="003D15D2" w:rsidTr="00427725">
        <w:trPr>
          <w:trHeight w:val="402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Организация кормления больных в стационаре. Роль младшего медицинского персонала. Кормление тяжелобольных в постели.</w:t>
            </w:r>
          </w:p>
        </w:tc>
      </w:tr>
      <w:tr w:rsidR="003D15D2" w:rsidTr="00427725">
        <w:trPr>
          <w:trHeight w:val="273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480" w:type="dxa"/>
          </w:tcPr>
          <w:p w:rsidR="003D15D2" w:rsidRPr="002C2809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Подготовка перевязочного материала</w:t>
            </w:r>
          </w:p>
          <w:p w:rsidR="003D15D2" w:rsidRPr="002C2809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Навыки работы с лабораторным оборудованием.</w:t>
            </w:r>
          </w:p>
          <w:p w:rsidR="003D15D2" w:rsidRPr="00C80435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Оценка качества лабораторных исследований.</w:t>
            </w:r>
          </w:p>
        </w:tc>
      </w:tr>
      <w:tr w:rsidR="003D15D2" w:rsidTr="00427725">
        <w:trPr>
          <w:trHeight w:val="197"/>
        </w:trPr>
        <w:tc>
          <w:tcPr>
            <w:tcW w:w="2268" w:type="dxa"/>
            <w:vMerge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480" w:type="dxa"/>
          </w:tcPr>
          <w:p w:rsidR="003D15D2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Самостоятельная работа:</w:t>
            </w:r>
          </w:p>
          <w:p w:rsidR="003D15D2" w:rsidRPr="00AE46E8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 xml:space="preserve">- изучение </w:t>
            </w:r>
            <w:r>
              <w:rPr>
                <w:rFonts w:ascii="Times New Roman" w:hAnsi="Times New Roman" w:cs="Times New Roman"/>
                <w:sz w:val="20"/>
              </w:rPr>
              <w:t xml:space="preserve">учебно-методической </w:t>
            </w:r>
            <w:r w:rsidRPr="00AE46E8">
              <w:rPr>
                <w:rFonts w:ascii="Times New Roman" w:hAnsi="Times New Roman" w:cs="Times New Roman"/>
                <w:sz w:val="20"/>
              </w:rPr>
              <w:t>литературы;</w:t>
            </w:r>
          </w:p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>- написание отчета по практике;</w:t>
            </w:r>
          </w:p>
        </w:tc>
      </w:tr>
      <w:tr w:rsidR="003D15D2" w:rsidTr="00427725">
        <w:tc>
          <w:tcPr>
            <w:tcW w:w="2268" w:type="dxa"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Заключительный </w:t>
            </w: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>Защита отчета по практике</w:t>
            </w:r>
          </w:p>
        </w:tc>
      </w:tr>
      <w:tr w:rsidR="003D15D2" w:rsidTr="00427725">
        <w:tc>
          <w:tcPr>
            <w:tcW w:w="2268" w:type="dxa"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Pr="009326E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090" w:type="dxa"/>
          </w:tcPr>
          <w:p w:rsidR="003D15D2" w:rsidRPr="009326E1" w:rsidRDefault="003D15D2" w:rsidP="0042772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108</w:t>
            </w:r>
          </w:p>
        </w:tc>
        <w:tc>
          <w:tcPr>
            <w:tcW w:w="6480" w:type="dxa"/>
          </w:tcPr>
          <w:p w:rsidR="003D15D2" w:rsidRPr="009326E1" w:rsidRDefault="003D15D2" w:rsidP="004277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40134A" w:rsidRDefault="0040134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E558C4" w:rsidRDefault="00A2745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E558C4" w:rsidRDefault="00E558C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4"/>
          <w:sz w:val="24"/>
        </w:rPr>
        <w:t xml:space="preserve">По итогам прохождения учебной </w:t>
      </w:r>
      <w:r>
        <w:rPr>
          <w:rFonts w:ascii="Times New Roman" w:hAnsi="Times New Roman" w:cs="Times New Roman"/>
          <w:spacing w:val="-4"/>
          <w:sz w:val="24"/>
        </w:rPr>
        <w:t xml:space="preserve">клинической </w:t>
      </w:r>
      <w:r w:rsidRPr="00E827C9">
        <w:rPr>
          <w:rFonts w:ascii="Times New Roman" w:hAnsi="Times New Roman" w:cs="Times New Roman"/>
          <w:spacing w:val="-4"/>
          <w:sz w:val="24"/>
        </w:rPr>
        <w:t>практики обучающийся должен посетить 100% практических занятий и предоставить руководите</w:t>
      </w:r>
      <w:r w:rsidRPr="00E827C9">
        <w:rPr>
          <w:rFonts w:ascii="Times New Roman" w:hAnsi="Times New Roman" w:cs="Times New Roman"/>
          <w:sz w:val="24"/>
        </w:rPr>
        <w:t>лю практики отчетную документацию: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письменный отчет в виде оформленного дневника практики,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индивидуальное задание</w:t>
      </w:r>
      <w:r>
        <w:rPr>
          <w:rFonts w:ascii="Times New Roman" w:hAnsi="Times New Roman" w:cs="Times New Roman"/>
          <w:sz w:val="24"/>
        </w:rPr>
        <w:t xml:space="preserve"> на практику (Приложение 1)</w:t>
      </w:r>
      <w:r w:rsidRPr="00E827C9">
        <w:rPr>
          <w:rFonts w:ascii="Times New Roman" w:hAnsi="Times New Roman" w:cs="Times New Roman"/>
          <w:sz w:val="24"/>
        </w:rPr>
        <w:t>,</w:t>
      </w:r>
    </w:p>
    <w:p w:rsid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предписание</w:t>
      </w:r>
      <w:r>
        <w:rPr>
          <w:rFonts w:ascii="Times New Roman" w:hAnsi="Times New Roman" w:cs="Times New Roman"/>
          <w:sz w:val="24"/>
        </w:rPr>
        <w:t xml:space="preserve"> на практику (Приложение 2),</w:t>
      </w:r>
    </w:p>
    <w:p w:rsid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совместный </w:t>
      </w:r>
      <w:r w:rsidRPr="00E827C9">
        <w:rPr>
          <w:rFonts w:ascii="Times New Roman" w:hAnsi="Times New Roman" w:cs="Times New Roman"/>
          <w:sz w:val="24"/>
        </w:rPr>
        <w:t>рабочий график (план)</w:t>
      </w:r>
      <w:r>
        <w:rPr>
          <w:rFonts w:ascii="Times New Roman" w:hAnsi="Times New Roman" w:cs="Times New Roman"/>
          <w:sz w:val="24"/>
        </w:rPr>
        <w:t xml:space="preserve"> (Приложение 3).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За время прохождения практики студент оформляет «Дневник практики», в который ежедневно вносит записи о выполненной работе в качестве помощника младшего медицинского персонала и выполненных практических заданиях. Фактический материал, изложенный в дневнике, может быть снабжен схемами, рисунками, таблицами.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pacing w:val="-3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Формой промежуточной аттестации по практике является зачет</w:t>
      </w:r>
      <w:r>
        <w:rPr>
          <w:rFonts w:ascii="Times New Roman" w:hAnsi="Times New Roman" w:cs="Times New Roman"/>
          <w:spacing w:val="-3"/>
          <w:sz w:val="24"/>
        </w:rPr>
        <w:t xml:space="preserve"> с оценкой</w:t>
      </w:r>
      <w:r w:rsidRPr="00E827C9">
        <w:rPr>
          <w:rFonts w:ascii="Times New Roman" w:hAnsi="Times New Roman" w:cs="Times New Roman"/>
          <w:spacing w:val="-3"/>
          <w:sz w:val="24"/>
        </w:rPr>
        <w:t>.</w:t>
      </w:r>
    </w:p>
    <w:p w:rsidR="0040134A" w:rsidRP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По результатам проверки отчетной документации и со</w:t>
      </w:r>
      <w:r>
        <w:rPr>
          <w:rFonts w:ascii="Times New Roman" w:hAnsi="Times New Roman" w:cs="Times New Roman"/>
          <w:spacing w:val="-3"/>
          <w:sz w:val="24"/>
        </w:rPr>
        <w:t xml:space="preserve">беседования выставляется </w:t>
      </w:r>
      <w:r w:rsidRPr="00E827C9">
        <w:rPr>
          <w:rFonts w:ascii="Times New Roman" w:hAnsi="Times New Roman" w:cs="Times New Roman"/>
          <w:spacing w:val="-3"/>
          <w:sz w:val="24"/>
        </w:rPr>
        <w:t>оценка за практику.</w:t>
      </w:r>
    </w:p>
    <w:p w:rsidR="0040134A" w:rsidRPr="000A0AC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 Учебно-методическое и информационное обеспечение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7.1. Основная литература: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  <w:r w:rsidRPr="000A0ACA">
        <w:rPr>
          <w:rFonts w:ascii="Times New Roman" w:hAnsi="Times New Roman" w:cs="Times New Roman"/>
          <w:sz w:val="24"/>
        </w:rPr>
        <w:t xml:space="preserve">Сестринское дело в терапии с курсом первичной медицинской помощи [Электронный ресурс] / </w:t>
      </w:r>
      <w:proofErr w:type="spellStart"/>
      <w:r w:rsidRPr="000A0ACA">
        <w:rPr>
          <w:rFonts w:ascii="Times New Roman" w:hAnsi="Times New Roman" w:cs="Times New Roman"/>
          <w:sz w:val="24"/>
        </w:rPr>
        <w:t>Смолева</w:t>
      </w:r>
      <w:proofErr w:type="spellEnd"/>
      <w:r w:rsidRPr="000A0ACA">
        <w:rPr>
          <w:rFonts w:ascii="Times New Roman" w:hAnsi="Times New Roman" w:cs="Times New Roman"/>
          <w:sz w:val="24"/>
        </w:rPr>
        <w:t xml:space="preserve"> Э.В. - Ростов н/Д: Феникс, 2016. - </w:t>
      </w:r>
      <w:hyperlink r:id="rId9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http://www.studentlibrary.ru/book/ISBN9785222263396.html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8E5320">
        <w:rPr>
          <w:rFonts w:ascii="Times New Roman" w:hAnsi="Times New Roman" w:cs="Times New Roman"/>
          <w:sz w:val="24"/>
        </w:rPr>
        <w:t>Общий уход за больными в терапевтической клинике [Электронный ресурс]</w:t>
      </w:r>
      <w:proofErr w:type="gramStart"/>
      <w:r w:rsidRPr="008E532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E5320">
        <w:rPr>
          <w:rFonts w:ascii="Times New Roman" w:hAnsi="Times New Roman" w:cs="Times New Roman"/>
          <w:sz w:val="24"/>
        </w:rPr>
        <w:t xml:space="preserve"> учебное пособие / Ослопов В.Н., Богоявленская О.В</w:t>
      </w:r>
      <w:r>
        <w:rPr>
          <w:rFonts w:ascii="Times New Roman" w:hAnsi="Times New Roman" w:cs="Times New Roman"/>
          <w:sz w:val="24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4"/>
        </w:rPr>
        <w:t>испр</w:t>
      </w:r>
      <w:proofErr w:type="spellEnd"/>
      <w:r>
        <w:rPr>
          <w:rFonts w:ascii="Times New Roman" w:hAnsi="Times New Roman" w:cs="Times New Roman"/>
          <w:sz w:val="24"/>
        </w:rPr>
        <w:t>. и доп. - М.</w:t>
      </w:r>
      <w:r w:rsidRPr="008E5320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0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http://www.studentlibrary.ru/book/ISBN9785970425206.html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0A0ACA">
        <w:rPr>
          <w:rFonts w:ascii="Times New Roman" w:hAnsi="Times New Roman" w:cs="Times New Roman"/>
          <w:sz w:val="24"/>
        </w:rPr>
        <w:t xml:space="preserve">Основы профилактической деятельности (ПМ.01) [Электронный ресурс]: учебник / Н.Г. Петрова [и др.] - Ростов н/Д: Феникс, 2016. - (Среднее медицинское образование). - </w:t>
      </w:r>
      <w:hyperlink r:id="rId11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http://www.studentlibrary.ru/book/ISBN9785222263877.html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3129A7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0A0ACA">
        <w:rPr>
          <w:rFonts w:ascii="Times New Roman" w:hAnsi="Times New Roman" w:cs="Times New Roman"/>
          <w:sz w:val="24"/>
        </w:rPr>
        <w:t xml:space="preserve">Как правильно делать инъекции [Электронный ресурс] / Соколова Н. Г.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Изд. 9-е, стер.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Ростов н</w:t>
      </w:r>
      <w:proofErr w:type="gramStart"/>
      <w:r w:rsidRPr="000A0ACA">
        <w:rPr>
          <w:rFonts w:ascii="Times New Roman" w:hAnsi="Times New Roman" w:cs="Times New Roman"/>
          <w:sz w:val="24"/>
        </w:rPr>
        <w:t>/Д</w:t>
      </w:r>
      <w:proofErr w:type="gramEnd"/>
      <w:r w:rsidRPr="000A0ACA">
        <w:rPr>
          <w:rFonts w:ascii="Times New Roman" w:hAnsi="Times New Roman" w:cs="Times New Roman"/>
          <w:sz w:val="24"/>
        </w:rPr>
        <w:t xml:space="preserve">: Феникс, 2014.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(Медицина для вас).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http://www.studentlibrary.ru/book/ISBN9785222219973.html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7.2. Дополнительная литература: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203">
        <w:rPr>
          <w:rFonts w:ascii="Times New Roman" w:hAnsi="Times New Roman" w:cs="Times New Roman"/>
          <w:sz w:val="24"/>
        </w:rPr>
        <w:t>Биология. В</w:t>
      </w:r>
      <w:r>
        <w:rPr>
          <w:rFonts w:ascii="Times New Roman" w:hAnsi="Times New Roman" w:cs="Times New Roman"/>
          <w:sz w:val="24"/>
        </w:rPr>
        <w:t xml:space="preserve"> 2 т. Т. 1 [Электронный ресурс]</w:t>
      </w:r>
      <w:r w:rsidRPr="00430203">
        <w:rPr>
          <w:rFonts w:ascii="Times New Roman" w:hAnsi="Times New Roman" w:cs="Times New Roman"/>
          <w:sz w:val="24"/>
        </w:rPr>
        <w:t>: учебн</w:t>
      </w:r>
      <w:r>
        <w:rPr>
          <w:rFonts w:ascii="Times New Roman" w:hAnsi="Times New Roman" w:cs="Times New Roman"/>
          <w:sz w:val="24"/>
        </w:rPr>
        <w:t>ик / Под ред. В.Н. Ярыгина - М.</w:t>
      </w:r>
      <w:r w:rsidRPr="00430203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3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http://www.studentlibrary.ru/book/ISBN9785970426401.html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3129A7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30203">
        <w:rPr>
          <w:rFonts w:ascii="Times New Roman" w:hAnsi="Times New Roman" w:cs="Times New Roman"/>
          <w:sz w:val="24"/>
        </w:rPr>
        <w:t>Биология. В</w:t>
      </w:r>
      <w:r>
        <w:rPr>
          <w:rFonts w:ascii="Times New Roman" w:hAnsi="Times New Roman" w:cs="Times New Roman"/>
          <w:sz w:val="24"/>
        </w:rPr>
        <w:t xml:space="preserve"> 2 т. Т. 2 [Электронный ресурс]</w:t>
      </w:r>
      <w:r w:rsidRPr="00430203">
        <w:rPr>
          <w:rFonts w:ascii="Times New Roman" w:hAnsi="Times New Roman" w:cs="Times New Roman"/>
          <w:sz w:val="24"/>
        </w:rPr>
        <w:t>: учебн</w:t>
      </w:r>
      <w:r>
        <w:rPr>
          <w:rFonts w:ascii="Times New Roman" w:hAnsi="Times New Roman" w:cs="Times New Roman"/>
          <w:sz w:val="24"/>
        </w:rPr>
        <w:t>ик / Под ред. В.Н. Ярыгина - М.</w:t>
      </w:r>
      <w:r w:rsidRPr="00430203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4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http://www.studentlibrary.ru/book/ISBN9785970426418.html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AA7760" w:rsidRDefault="0040134A" w:rsidP="0040134A">
      <w:pPr>
        <w:pStyle w:val="af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A0ACA">
        <w:rPr>
          <w:rFonts w:ascii="Times New Roman" w:hAnsi="Times New Roman"/>
          <w:b/>
          <w:sz w:val="24"/>
        </w:rPr>
        <w:t xml:space="preserve">7.3. </w:t>
      </w:r>
      <w:r w:rsidRPr="00C40ECF">
        <w:rPr>
          <w:rFonts w:ascii="Times New Roman" w:hAnsi="Times New Roman"/>
          <w:b/>
          <w:sz w:val="24"/>
          <w:szCs w:val="24"/>
        </w:rPr>
        <w:t>программное обеспечение и Интернет-ресурсы:</w:t>
      </w:r>
    </w:p>
    <w:p w:rsidR="0040134A" w:rsidRPr="00C40ECF" w:rsidRDefault="0040134A" w:rsidP="0040134A">
      <w:pPr>
        <w:contextualSpacing/>
        <w:rPr>
          <w:rStyle w:val="ab"/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bCs/>
          <w:sz w:val="24"/>
          <w:szCs w:val="24"/>
        </w:rPr>
        <w:t xml:space="preserve">Справочно-информационная система «Консультант Плюс»: </w:t>
      </w:r>
      <w:hyperlink r:id="rId15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http://www.consultant.ru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Научная российская электронная библиотека elibrary.ru: </w:t>
      </w:r>
      <w:hyperlink r:id="rId16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Elsevier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elsevier</w:t>
        </w:r>
        <w:proofErr w:type="spellEnd"/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http://link.springer.com</w:t>
        </w:r>
      </w:hyperlink>
    </w:p>
    <w:p w:rsidR="0040134A" w:rsidRPr="00C40ECF" w:rsidRDefault="0040134A" w:rsidP="004013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Лицензионное 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операционная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, пакет прикладных программ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>) и свободно распространяемое программное обеспечение.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0134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0134A" w:rsidRPr="000A0AC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 xml:space="preserve">8. </w:t>
      </w:r>
      <w:r w:rsidRPr="00DD017D">
        <w:rPr>
          <w:rFonts w:ascii="Times New Roman" w:hAnsi="Times New Roman" w:cs="Times New Roman"/>
          <w:b/>
          <w:sz w:val="24"/>
          <w:szCs w:val="24"/>
        </w:rPr>
        <w:t>Перечень информационных технологий, используемых при проведении практики</w:t>
      </w:r>
    </w:p>
    <w:p w:rsidR="0040134A" w:rsidRDefault="0040134A" w:rsidP="0040134A">
      <w:pPr>
        <w:pStyle w:val="af7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D017D">
        <w:rPr>
          <w:rFonts w:ascii="Times New Roman" w:hAnsi="Times New Roman"/>
          <w:sz w:val="24"/>
          <w:szCs w:val="24"/>
        </w:rPr>
        <w:t>Электронная справочная система Фундаментальной библиотеки ННГУ.</w:t>
      </w:r>
    </w:p>
    <w:p w:rsidR="0040134A" w:rsidRPr="001857C6" w:rsidRDefault="0040134A" w:rsidP="0040134A">
      <w:pPr>
        <w:pStyle w:val="af7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57C6">
        <w:rPr>
          <w:rFonts w:ascii="Times New Roman" w:hAnsi="Times New Roman"/>
          <w:sz w:val="24"/>
          <w:szCs w:val="24"/>
        </w:rPr>
        <w:t xml:space="preserve">Для подготовки и демонстрации презентаций используются программы </w:t>
      </w:r>
      <w:proofErr w:type="spellStart"/>
      <w:r w:rsidRPr="001857C6">
        <w:rPr>
          <w:rFonts w:ascii="Times New Roman" w:hAnsi="Times New Roman"/>
          <w:sz w:val="24"/>
          <w:szCs w:val="24"/>
        </w:rPr>
        <w:t>Windows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 и MS </w:t>
      </w:r>
      <w:proofErr w:type="spellStart"/>
      <w:r w:rsidRPr="001857C6">
        <w:rPr>
          <w:rFonts w:ascii="Times New Roman" w:hAnsi="Times New Roman"/>
          <w:sz w:val="24"/>
          <w:szCs w:val="24"/>
        </w:rPr>
        <w:t>Office</w:t>
      </w:r>
      <w:proofErr w:type="spellEnd"/>
      <w:r w:rsidRPr="001857C6">
        <w:rPr>
          <w:rFonts w:ascii="Times New Roman" w:hAnsi="Times New Roman"/>
          <w:sz w:val="24"/>
          <w:szCs w:val="24"/>
        </w:rPr>
        <w:t>. Для статистической обработки цифровы</w:t>
      </w:r>
      <w:r>
        <w:rPr>
          <w:rFonts w:ascii="Times New Roman" w:hAnsi="Times New Roman"/>
          <w:sz w:val="24"/>
          <w:szCs w:val="24"/>
        </w:rPr>
        <w:t>х данных используются программа</w:t>
      </w:r>
      <w:r w:rsidRPr="00185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7C6">
        <w:rPr>
          <w:rFonts w:ascii="Times New Roman" w:hAnsi="Times New Roman"/>
          <w:sz w:val="24"/>
          <w:szCs w:val="24"/>
        </w:rPr>
        <w:t>Biostat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. Для обработки </w:t>
      </w:r>
      <w:r w:rsidRPr="001857C6">
        <w:rPr>
          <w:rFonts w:ascii="Times New Roman" w:hAnsi="Times New Roman"/>
          <w:iCs/>
          <w:sz w:val="24"/>
          <w:szCs w:val="24"/>
        </w:rPr>
        <w:t xml:space="preserve">фотографий используются бесплатные компьютерные программы с открытым исходным кодом </w:t>
      </w:r>
      <w:proofErr w:type="spellStart"/>
      <w:r w:rsidRPr="001857C6">
        <w:rPr>
          <w:rFonts w:ascii="Times New Roman" w:hAnsi="Times New Roman"/>
          <w:iCs/>
          <w:sz w:val="24"/>
          <w:szCs w:val="24"/>
          <w:lang w:val="en-US"/>
        </w:rPr>
        <w:t>ImageJ</w:t>
      </w:r>
      <w:proofErr w:type="spellEnd"/>
      <w:r w:rsidRPr="001857C6">
        <w:rPr>
          <w:rFonts w:ascii="Times New Roman" w:hAnsi="Times New Roman"/>
          <w:iCs/>
          <w:sz w:val="24"/>
          <w:szCs w:val="24"/>
        </w:rPr>
        <w:t xml:space="preserve"> (http://imagej.net), для обработки видео – </w:t>
      </w:r>
      <w:proofErr w:type="spellStart"/>
      <w:r w:rsidRPr="001857C6">
        <w:rPr>
          <w:rFonts w:ascii="Times New Roman" w:hAnsi="Times New Roman"/>
          <w:iCs/>
          <w:sz w:val="24"/>
          <w:szCs w:val="24"/>
          <w:lang w:val="en-US"/>
        </w:rPr>
        <w:t>GifAnimator</w:t>
      </w:r>
      <w:proofErr w:type="spellEnd"/>
      <w:r w:rsidRPr="001857C6">
        <w:rPr>
          <w:rFonts w:ascii="Times New Roman" w:hAnsi="Times New Roman"/>
          <w:iCs/>
          <w:sz w:val="24"/>
          <w:szCs w:val="24"/>
        </w:rPr>
        <w:t xml:space="preserve"> (http://www.gif-animator.com)</w:t>
      </w:r>
      <w:r w:rsidRPr="001857C6">
        <w:rPr>
          <w:rFonts w:ascii="Times New Roman" w:hAnsi="Times New Roman"/>
          <w:sz w:val="24"/>
          <w:szCs w:val="24"/>
        </w:rPr>
        <w:t xml:space="preserve">. </w:t>
      </w:r>
    </w:p>
    <w:p w:rsidR="00E558C4" w:rsidRDefault="00E558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A274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40134A" w:rsidRPr="00224395" w:rsidRDefault="0040134A" w:rsidP="0040134A">
      <w:pPr>
        <w:pStyle w:val="a3"/>
        <w:ind w:firstLine="720"/>
        <w:jc w:val="both"/>
        <w:rPr>
          <w:rFonts w:ascii="Times New Roman" w:hAnsi="Times New Roman" w:cs="Times New Roman"/>
          <w:sz w:val="24"/>
        </w:rPr>
      </w:pPr>
      <w:r w:rsidRPr="00224395">
        <w:rPr>
          <w:rFonts w:ascii="Times New Roman" w:hAnsi="Times New Roman" w:cs="Times New Roman"/>
          <w:sz w:val="24"/>
        </w:rPr>
        <w:t>Учебно-методическое и материально-техническое обеспечение практики реализуется благодаря материально-техническому оснащению сторонних организаций и учреждений, в которых проводится практика, обеспечивающих подготовку студентов и формирование у них компетенций в соответствии с целями и задачами практики. Кроме того</w:t>
      </w:r>
      <w:r>
        <w:rPr>
          <w:rFonts w:ascii="Times New Roman" w:hAnsi="Times New Roman" w:cs="Times New Roman"/>
          <w:sz w:val="24"/>
        </w:rPr>
        <w:t>, при проведении практики</w:t>
      </w:r>
      <w:r w:rsidRPr="002243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используются</w:t>
      </w:r>
      <w:r w:rsidRPr="002243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учебные аудитории </w:t>
      </w:r>
      <w:r w:rsidRPr="00224395">
        <w:rPr>
          <w:rFonts w:ascii="Times New Roman" w:hAnsi="Times New Roman" w:cs="Times New Roman"/>
          <w:sz w:val="24"/>
        </w:rPr>
        <w:t xml:space="preserve">для проведения занятий лекционного типа, занятий </w:t>
      </w:r>
      <w:r>
        <w:rPr>
          <w:rFonts w:ascii="Times New Roman" w:hAnsi="Times New Roman" w:cs="Times New Roman"/>
          <w:sz w:val="24"/>
        </w:rPr>
        <w:t xml:space="preserve">лабораторного и </w:t>
      </w:r>
      <w:r w:rsidRPr="00224395">
        <w:rPr>
          <w:rFonts w:ascii="Times New Roman" w:hAnsi="Times New Roman" w:cs="Times New Roman"/>
          <w:sz w:val="24"/>
        </w:rPr>
        <w:t xml:space="preserve">семинарского типа, групповых и индивидуальных консультаций, текущего контроля и </w:t>
      </w:r>
      <w:r>
        <w:rPr>
          <w:rFonts w:ascii="Times New Roman" w:hAnsi="Times New Roman" w:cs="Times New Roman"/>
          <w:sz w:val="24"/>
        </w:rPr>
        <w:t>промежуточной аттестации, а так</w:t>
      </w:r>
      <w:r w:rsidRPr="00224395">
        <w:rPr>
          <w:rFonts w:ascii="Times New Roman" w:hAnsi="Times New Roman" w:cs="Times New Roman"/>
          <w:sz w:val="24"/>
        </w:rPr>
        <w:t>же помещения для самостоятельной работы. Помещения, используемые для проведения практики, соответствуют действующим санитарным и противопожарным нормам и требованиям.</w:t>
      </w:r>
    </w:p>
    <w:p w:rsidR="0040134A" w:rsidRDefault="0040134A" w:rsidP="0040134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A274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проведения текущего контроля и промежуточной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по практике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формам промежуточного контроля успеваемости относится следующее: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письменного отчета в виде оформленного дневника практики;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собеседование на защите отчета.</w:t>
      </w:r>
    </w:p>
    <w:p w:rsidR="00A27459" w:rsidRPr="006C16F2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По результатам практики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Pr="006C16F2">
        <w:rPr>
          <w:rFonts w:ascii="Times New Roman" w:hAnsi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</w:t>
      </w:r>
      <w:r>
        <w:rPr>
          <w:rFonts w:ascii="Times New Roman" w:hAnsi="Times New Roman"/>
          <w:sz w:val="24"/>
          <w:szCs w:val="24"/>
        </w:rPr>
        <w:t xml:space="preserve">аданием и </w:t>
      </w:r>
      <w:r w:rsidRPr="006C16F2">
        <w:rPr>
          <w:rFonts w:ascii="Times New Roman" w:hAnsi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</w:t>
      </w:r>
      <w:r>
        <w:rPr>
          <w:rFonts w:ascii="Times New Roman" w:hAnsi="Times New Roman"/>
          <w:sz w:val="24"/>
          <w:szCs w:val="24"/>
        </w:rPr>
        <w:t>рофессиональных компетенций, оп</w:t>
      </w:r>
      <w:r w:rsidRPr="006C16F2">
        <w:rPr>
          <w:rFonts w:ascii="Times New Roman" w:hAnsi="Times New Roman"/>
          <w:sz w:val="24"/>
          <w:szCs w:val="24"/>
        </w:rPr>
        <w:t>ределенных образовательной программой, с описанием решения задач практики.</w:t>
      </w:r>
    </w:p>
    <w:p w:rsidR="00A27459" w:rsidRPr="006C16F2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Вместе с отчетом</w:t>
      </w:r>
      <w:r>
        <w:rPr>
          <w:rFonts w:ascii="Times New Roman" w:hAnsi="Times New Roman"/>
          <w:sz w:val="24"/>
          <w:szCs w:val="24"/>
        </w:rPr>
        <w:t xml:space="preserve"> обучающийся </w:t>
      </w:r>
      <w:r w:rsidRPr="006C16F2">
        <w:rPr>
          <w:rFonts w:ascii="Times New Roman" w:hAnsi="Times New Roman"/>
          <w:sz w:val="24"/>
          <w:szCs w:val="24"/>
        </w:rPr>
        <w:t xml:space="preserve">предоставляет на кафедру оформленное предписание, индивидуальное </w:t>
      </w:r>
      <w:r>
        <w:rPr>
          <w:rFonts w:ascii="Times New Roman" w:hAnsi="Times New Roman"/>
          <w:sz w:val="24"/>
          <w:szCs w:val="24"/>
        </w:rPr>
        <w:t xml:space="preserve">задание и совместный </w:t>
      </w:r>
      <w:r w:rsidRPr="006C16F2">
        <w:rPr>
          <w:rFonts w:ascii="Times New Roman" w:hAnsi="Times New Roman"/>
          <w:sz w:val="24"/>
          <w:szCs w:val="24"/>
        </w:rPr>
        <w:t xml:space="preserve">рабочий график (план). 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</w:t>
      </w:r>
      <w:r>
        <w:rPr>
          <w:rFonts w:ascii="Times New Roman" w:hAnsi="Times New Roman"/>
          <w:sz w:val="24"/>
          <w:szCs w:val="24"/>
        </w:rPr>
        <w:t xml:space="preserve">уководителем практики уровня овладения специалистом </w:t>
      </w:r>
      <w:r w:rsidRPr="006C16F2">
        <w:rPr>
          <w:rFonts w:ascii="Times New Roman" w:hAnsi="Times New Roman"/>
          <w:sz w:val="24"/>
          <w:szCs w:val="24"/>
        </w:rPr>
        <w:t>практическим</w:t>
      </w:r>
      <w:r>
        <w:rPr>
          <w:rFonts w:ascii="Times New Roman" w:hAnsi="Times New Roman"/>
          <w:sz w:val="24"/>
          <w:szCs w:val="24"/>
        </w:rPr>
        <w:t xml:space="preserve">и навыками работы </w:t>
      </w:r>
      <w:r w:rsidRPr="006C16F2">
        <w:rPr>
          <w:rFonts w:ascii="Times New Roman" w:hAnsi="Times New Roman"/>
          <w:sz w:val="24"/>
          <w:szCs w:val="24"/>
        </w:rPr>
        <w:t>в соответствии с компетенциями, формирование которых предус</w:t>
      </w:r>
      <w:r>
        <w:rPr>
          <w:rFonts w:ascii="Times New Roman" w:hAnsi="Times New Roman"/>
          <w:sz w:val="24"/>
          <w:szCs w:val="24"/>
        </w:rPr>
        <w:t>мотрено программой практики</w:t>
      </w:r>
      <w:r w:rsidRPr="006C16F2">
        <w:rPr>
          <w:rFonts w:ascii="Times New Roman" w:hAnsi="Times New Roman"/>
          <w:sz w:val="24"/>
          <w:szCs w:val="24"/>
        </w:rPr>
        <w:t xml:space="preserve"> на основе пр</w:t>
      </w:r>
      <w:r>
        <w:rPr>
          <w:rFonts w:ascii="Times New Roman" w:hAnsi="Times New Roman"/>
          <w:sz w:val="24"/>
          <w:szCs w:val="24"/>
        </w:rPr>
        <w:t>едставленного отчета и собеседования.</w:t>
      </w:r>
    </w:p>
    <w:p w:rsidR="00A27459" w:rsidRPr="0046560C" w:rsidRDefault="00A27459" w:rsidP="00A2745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оформлению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дневника (</w:t>
      </w: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письменного отчёта по практике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27459" w:rsidRPr="0046560C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1. Дневник является официальным документом по практике. Он должен быть написан разборчиво, грамотно, медицинским языком.</w:t>
      </w:r>
    </w:p>
    <w:p w:rsidR="00A27459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2. Записи в дневнике ведутся ежедневно в конце рабочего дня и должны отражать всю выполненную работу в подразделениях больницы.</w:t>
      </w: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27459" w:rsidRDefault="00A27459" w:rsidP="00A27459">
      <w:pPr>
        <w:pStyle w:val="a3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27459" w:rsidRPr="00DC20D7" w:rsidRDefault="00A27459" w:rsidP="00A27459">
      <w:pPr>
        <w:pStyle w:val="a3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Образец оформления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записи в </w:t>
      </w: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дневник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766"/>
      </w:tblGrid>
      <w:tr w:rsidR="00A27459" w:rsidRPr="00DC20D7" w:rsidTr="00A27459">
        <w:tc>
          <w:tcPr>
            <w:tcW w:w="2093" w:type="dxa"/>
          </w:tcPr>
          <w:p w:rsidR="00A27459" w:rsidRPr="00DC20D7" w:rsidRDefault="00A27459" w:rsidP="00A27459">
            <w:pPr>
              <w:pStyle w:val="a3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0D7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796" w:type="dxa"/>
          </w:tcPr>
          <w:p w:rsidR="00A27459" w:rsidRPr="00DC20D7" w:rsidRDefault="00A27459" w:rsidP="00A27459">
            <w:pPr>
              <w:pStyle w:val="a3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0D7">
              <w:rPr>
                <w:rFonts w:ascii="Times New Roman" w:eastAsia="Calibri" w:hAnsi="Times New Roman" w:cs="Times New Roman"/>
                <w:sz w:val="20"/>
                <w:szCs w:val="20"/>
              </w:rPr>
              <w:t>Объем проделанной работы</w:t>
            </w:r>
          </w:p>
        </w:tc>
      </w:tr>
      <w:tr w:rsidR="00A27459" w:rsidRPr="00DC20D7" w:rsidTr="00A27459">
        <w:tc>
          <w:tcPr>
            <w:tcW w:w="2093" w:type="dxa"/>
          </w:tcPr>
          <w:p w:rsidR="00A27459" w:rsidRPr="00DC20D7" w:rsidRDefault="00A27459" w:rsidP="00A27459">
            <w:pPr>
              <w:pStyle w:val="TableParagraph"/>
              <w:ind w:left="0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22</w:t>
            </w:r>
            <w:r w:rsidRPr="00DC20D7">
              <w:rPr>
                <w:rFonts w:eastAsia="Calibri"/>
              </w:rPr>
              <w:t>.0</w:t>
            </w:r>
            <w:r>
              <w:rPr>
                <w:rFonts w:eastAsia="Calibri"/>
                <w:lang w:val="ru-RU"/>
              </w:rPr>
              <w:t>6</w:t>
            </w:r>
            <w:r>
              <w:rPr>
                <w:rFonts w:eastAsia="Calibri"/>
              </w:rPr>
              <w:t>.19</w:t>
            </w:r>
          </w:p>
          <w:p w:rsidR="00A27459" w:rsidRPr="00DC20D7" w:rsidRDefault="00A27459" w:rsidP="00A27459">
            <w:pPr>
              <w:pStyle w:val="TableParagraph"/>
              <w:ind w:left="0"/>
              <w:rPr>
                <w:rFonts w:eastAsia="Calibri"/>
              </w:rPr>
            </w:pPr>
            <w:r w:rsidRPr="00DC20D7">
              <w:rPr>
                <w:rFonts w:eastAsia="Calibri"/>
              </w:rPr>
              <w:t>08:00 – 15:00</w:t>
            </w:r>
          </w:p>
        </w:tc>
        <w:tc>
          <w:tcPr>
            <w:tcW w:w="7796" w:type="dxa"/>
          </w:tcPr>
          <w:p w:rsidR="00A27459" w:rsidRPr="00DC20D7" w:rsidRDefault="00A27459" w:rsidP="00A27459">
            <w:pPr>
              <w:pStyle w:val="TableParagraph"/>
              <w:ind w:left="34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Студент о</w:t>
            </w:r>
            <w:r w:rsidRPr="00DC20D7">
              <w:rPr>
                <w:rFonts w:eastAsia="Calibri"/>
                <w:lang w:val="ru-RU"/>
              </w:rPr>
              <w:t>писывает свою проделанную работу за смену в текстовом варианте от первого лица</w:t>
            </w:r>
            <w:r>
              <w:rPr>
                <w:rFonts w:eastAsia="Calibri"/>
                <w:lang w:val="ru-RU"/>
              </w:rPr>
              <w:t>, а также</w:t>
            </w:r>
            <w:r w:rsidRPr="00DC20D7">
              <w:rPr>
                <w:rFonts w:eastAsia="Calibri"/>
                <w:lang w:val="ru-RU"/>
              </w:rPr>
              <w:t xml:space="preserve"> алгоритм выполненн</w:t>
            </w:r>
            <w:r>
              <w:rPr>
                <w:rFonts w:eastAsia="Calibri"/>
                <w:lang w:val="ru-RU"/>
              </w:rPr>
              <w:t>ых</w:t>
            </w:r>
            <w:r w:rsidRPr="00DC20D7">
              <w:rPr>
                <w:rFonts w:eastAsia="Calibri"/>
                <w:lang w:val="ru-RU"/>
              </w:rPr>
              <w:t xml:space="preserve"> манипуляци</w:t>
            </w:r>
            <w:r>
              <w:rPr>
                <w:rFonts w:eastAsia="Calibri"/>
                <w:lang w:val="ru-RU"/>
              </w:rPr>
              <w:t>й</w:t>
            </w:r>
          </w:p>
        </w:tc>
      </w:tr>
    </w:tbl>
    <w:p w:rsidR="00A27459" w:rsidRPr="0046560C" w:rsidRDefault="00A27459" w:rsidP="00A2745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459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окончания практики, студент, на основании записей в дневнике, должен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написать</w:t>
      </w: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проделанной работе.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27459" w:rsidRPr="000D5288" w:rsidRDefault="00A27459" w:rsidP="00A2745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A27459" w:rsidRPr="000D5288" w:rsidRDefault="00A27459" w:rsidP="00A27459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практических задач, решаемых студентом за время прохождения практики;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A27459" w:rsidRPr="000D5288" w:rsidRDefault="00A27459" w:rsidP="00A27459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знаний, умений, навыков (компетенций), приобретенных практикантом в период практики; </w:t>
      </w:r>
    </w:p>
    <w:p w:rsidR="00A27459" w:rsidRPr="000D5288" w:rsidRDefault="00A27459" w:rsidP="00A27459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E558C4" w:rsidRDefault="00E558C4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15D2" w:rsidRDefault="00A27459" w:rsidP="002F6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</w:t>
      </w:r>
      <w:r w:rsidR="00DB17A1">
        <w:rPr>
          <w:rFonts w:ascii="Times New Roman" w:hAnsi="Times New Roman" w:cs="Times New Roman"/>
          <w:b/>
          <w:sz w:val="24"/>
          <w:szCs w:val="24"/>
        </w:rPr>
        <w:t xml:space="preserve"> учебной клинической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практике </w:t>
      </w:r>
      <w:r w:rsidR="00737B2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в форме практической подготовки)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3D15D2" w:rsidRPr="003D15D2" w:rsidTr="00427725">
        <w:tc>
          <w:tcPr>
            <w:tcW w:w="710" w:type="dxa"/>
            <w:vAlign w:val="center"/>
          </w:tcPr>
          <w:p w:rsidR="003D15D2" w:rsidRPr="003D15D2" w:rsidRDefault="003D15D2" w:rsidP="003D15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:rsidR="003D15D2" w:rsidRPr="003D15D2" w:rsidRDefault="003D15D2" w:rsidP="003D15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3D15D2" w:rsidRPr="003D15D2" w:rsidRDefault="003D15D2" w:rsidP="003D15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3D15D2" w:rsidRPr="003D15D2" w:rsidRDefault="003D15D2" w:rsidP="003D15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3D15D2" w:rsidRPr="003D15D2" w:rsidRDefault="003D15D2" w:rsidP="003D15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D15D2" w:rsidRPr="003D15D2" w:rsidRDefault="003D15D2" w:rsidP="003D15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3D15D2" w:rsidRPr="003D15D2" w:rsidTr="00427725">
        <w:trPr>
          <w:trHeight w:val="5256"/>
        </w:trPr>
        <w:tc>
          <w:tcPr>
            <w:tcW w:w="710" w:type="dxa"/>
          </w:tcPr>
          <w:p w:rsidR="003D15D2" w:rsidRPr="003D15D2" w:rsidRDefault="003D15D2" w:rsidP="003D15D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15D2" w:rsidRPr="003D15D2" w:rsidRDefault="003D15D2" w:rsidP="003D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3" w:type="dxa"/>
          </w:tcPr>
          <w:p w:rsidR="003D15D2" w:rsidRPr="003D15D2" w:rsidRDefault="003D15D2" w:rsidP="003D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ОПК-1 :</w:t>
            </w:r>
            <w:proofErr w:type="gramStart"/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D15D2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ОПК-1.1.: Знать принципы реализации моральных и правовых норм, этические и деонтологические принципы в профессиональной деятельности</w:t>
            </w:r>
          </w:p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ОПК-1.2.</w:t>
            </w:r>
            <w:proofErr w:type="gramStart"/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ОПК-1.3.</w:t>
            </w:r>
            <w:proofErr w:type="gramStart"/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опытом реализации моральных и правовых норм, этические и деонтологические принципы в профессиональной деятельности</w:t>
            </w:r>
          </w:p>
        </w:tc>
        <w:tc>
          <w:tcPr>
            <w:tcW w:w="2693" w:type="dxa"/>
            <w:vAlign w:val="center"/>
          </w:tcPr>
          <w:p w:rsidR="003D15D2" w:rsidRPr="003D15D2" w:rsidRDefault="003D15D2" w:rsidP="003D15D2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15D2" w:rsidRPr="003D15D2" w:rsidTr="00427725">
        <w:trPr>
          <w:trHeight w:val="4385"/>
        </w:trPr>
        <w:tc>
          <w:tcPr>
            <w:tcW w:w="710" w:type="dxa"/>
          </w:tcPr>
          <w:p w:rsidR="003D15D2" w:rsidRPr="003D15D2" w:rsidRDefault="003D15D2" w:rsidP="003D15D2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15D2" w:rsidRPr="003D15D2" w:rsidRDefault="003D15D2" w:rsidP="003D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ОПК-10.</w:t>
            </w: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D15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работу младшего и среднего медицинского персонала по уходу за больными</w:t>
            </w:r>
          </w:p>
        </w:tc>
        <w:tc>
          <w:tcPr>
            <w:tcW w:w="3261" w:type="dxa"/>
          </w:tcPr>
          <w:p w:rsidR="003D15D2" w:rsidRPr="003D15D2" w:rsidRDefault="003D15D2" w:rsidP="003D15D2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ОПК-10.1.</w:t>
            </w:r>
            <w:proofErr w:type="gramStart"/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Знать способы организации работы младшего и среднего медицинского персонала по уходу за больными</w:t>
            </w:r>
          </w:p>
          <w:p w:rsidR="003D15D2" w:rsidRPr="003D15D2" w:rsidRDefault="003D15D2" w:rsidP="003D15D2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ОПК-10.2.</w:t>
            </w:r>
            <w:proofErr w:type="gramStart"/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Уметь организовывать работу младшего и среднего медицинского персонала по уходу за больными</w:t>
            </w:r>
          </w:p>
          <w:p w:rsidR="003D15D2" w:rsidRPr="003D15D2" w:rsidRDefault="003D15D2" w:rsidP="003D15D2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ОПК-10.3.</w:t>
            </w:r>
            <w:proofErr w:type="gramStart"/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D1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Владеть навыком организации работы младшего и среднего медицинского персонала по уходу за больными</w:t>
            </w:r>
          </w:p>
        </w:tc>
        <w:tc>
          <w:tcPr>
            <w:tcW w:w="2693" w:type="dxa"/>
            <w:vAlign w:val="center"/>
          </w:tcPr>
          <w:p w:rsidR="003D15D2" w:rsidRPr="003D15D2" w:rsidRDefault="003D15D2" w:rsidP="003D15D2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D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3D15D2" w:rsidRPr="003D15D2" w:rsidRDefault="003D15D2" w:rsidP="003D15D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8C4" w:rsidRPr="002F62CA" w:rsidRDefault="00A27459" w:rsidP="002F62CA">
      <w:pPr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2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17A1" w:rsidRPr="002F62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558C4" w:rsidRPr="003D15D2" w:rsidRDefault="00A27459" w:rsidP="003D15D2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bookmarkStart w:id="0" w:name="_GoBack"/>
      <w:bookmarkEnd w:id="0"/>
    </w:p>
    <w:p w:rsidR="00E558C4" w:rsidRDefault="00E55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558C4">
          <w:footerReference w:type="default" r:id="rId19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p w:rsidR="00E558C4" w:rsidRDefault="00E558C4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558C4">
        <w:trPr>
          <w:trHeight w:val="158"/>
        </w:trPr>
        <w:tc>
          <w:tcPr>
            <w:tcW w:w="1604" w:type="dxa"/>
            <w:vMerge w:val="restart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E558C4">
        <w:trPr>
          <w:trHeight w:val="2051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Невозможность оценить полноту знаний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полном объеме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объеме, но некоторые с недочетами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задачи. Выполнены все задания, в полном объеме, но некоторые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недочетами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объеме.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Компетенция  не сформирована. Отсутствуют знания, умения, навыки, необходимые для решения практических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E558C4" w:rsidRDefault="00E558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558C4">
        <w:trPr>
          <w:trHeight w:val="158"/>
        </w:trPr>
        <w:tc>
          <w:tcPr>
            <w:tcW w:w="1604" w:type="dxa"/>
            <w:vMerge w:val="restart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558C4" w:rsidRDefault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E558C4" w:rsidRDefault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E558C4" w:rsidRDefault="00E55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E55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558C4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E558C4" w:rsidRDefault="00A27459">
      <w:pPr>
        <w:pStyle w:val="af5"/>
        <w:widowControl w:val="0"/>
        <w:spacing w:before="0" w:beforeAutospacing="0" w:after="0" w:afterAutospacing="0"/>
        <w:ind w:firstLine="709"/>
        <w:jc w:val="both"/>
      </w:pPr>
      <w:r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>
        <w:t>сформированность</w:t>
      </w:r>
      <w:proofErr w:type="spellEnd"/>
      <w:r>
        <w:t xml:space="preserve"> предусмотренных программой компетенций,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полученных теоретических знаний, практических навыков и умений </w:t>
      </w:r>
    </w:p>
    <w:p w:rsidR="00E558C4" w:rsidRDefault="00E558C4">
      <w:pPr>
        <w:pStyle w:val="af5"/>
        <w:widowControl w:val="0"/>
        <w:spacing w:before="0" w:beforeAutospacing="0" w:after="0" w:afterAutospacing="0"/>
        <w:ind w:firstLine="709"/>
        <w:jc w:val="both"/>
      </w:pPr>
    </w:p>
    <w:p w:rsidR="00E558C4" w:rsidRPr="00124FCC" w:rsidRDefault="00E558C4">
      <w:pPr>
        <w:pStyle w:val="af5"/>
        <w:widowControl w:val="0"/>
        <w:spacing w:before="0" w:beforeAutospacing="0" w:after="0" w:afterAutospacing="0"/>
        <w:ind w:firstLine="709"/>
        <w:jc w:val="both"/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14"/>
      </w:tblGrid>
      <w:tr w:rsidR="00E558C4">
        <w:trPr>
          <w:trHeight w:val="10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8C4" w:rsidRDefault="00A27459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Зачтено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C4" w:rsidRDefault="00A27459" w:rsidP="00CE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достигнуты. Полностью выполнено индивидуальное задание, выполнены все предусмотренные виды работ, результаты оформлены в виде письменного отчета</w:t>
            </w:r>
            <w:r w:rsidR="00CE6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8C4">
        <w:trPr>
          <w:trHeight w:val="129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C4" w:rsidRDefault="00A27459" w:rsidP="00CE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компетенции не достигнуты.  Индивидуальное задание не выполнено. Имеются пропуски  периода  прохождения практики, отчет подготовлен не полностью, имеет фрагментарный характер  </w:t>
            </w:r>
          </w:p>
        </w:tc>
      </w:tr>
    </w:tbl>
    <w:p w:rsidR="00E558C4" w:rsidRDefault="00E558C4">
      <w:pPr>
        <w:pStyle w:val="af4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A27459">
      <w:pPr>
        <w:pStyle w:val="af4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E558C4" w:rsidRDefault="00A27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2F62CA" w:rsidRPr="0046560C" w:rsidRDefault="002F62CA" w:rsidP="002F62CA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письменного отчёта по практике</w:t>
      </w:r>
    </w:p>
    <w:p w:rsidR="002F62CA" w:rsidRPr="0035108B" w:rsidRDefault="002F62CA" w:rsidP="002F62C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Письменный отчет по практике должен содержать: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титульный лист;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содержание;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введение;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основная часть;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заключение;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список использованных источников;</w:t>
      </w:r>
    </w:p>
    <w:p w:rsidR="002F62CA" w:rsidRDefault="002F62CA" w:rsidP="002F62CA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приложения.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F62CA" w:rsidRPr="000D5288" w:rsidRDefault="002F62CA" w:rsidP="002F62C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2F62CA" w:rsidRDefault="002F62CA" w:rsidP="002F62CA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2F62CA" w:rsidRPr="000D2CFA" w:rsidRDefault="002F62CA" w:rsidP="002F62CA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последовательность прохождения практики, перечень работ, выполненных в процессе практики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2F62CA" w:rsidRPr="0035108B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методик, 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практических задач, решаемых студентом за время прохождения практики;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2F62CA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описание знаний, умений, навыков (компетенций), приобретенных практикантом в период практики; </w:t>
      </w:r>
    </w:p>
    <w:p w:rsidR="002F62CA" w:rsidRPr="000D2CFA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характеристику информационно-программных продуктов, необходимых для прохождения практики (если есть); </w:t>
      </w:r>
    </w:p>
    <w:p w:rsidR="002F62CA" w:rsidRPr="000D5288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2F62CA" w:rsidRDefault="002F62C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sectPr w:rsidR="002F62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9C" w:rsidRDefault="00B2769C">
      <w:pPr>
        <w:spacing w:before="0" w:after="0" w:line="240" w:lineRule="auto"/>
      </w:pPr>
      <w:r>
        <w:separator/>
      </w:r>
    </w:p>
  </w:endnote>
  <w:endnote w:type="continuationSeparator" w:id="0">
    <w:p w:rsidR="00B2769C" w:rsidRDefault="00B276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charset w:val="0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:rsidR="00E558C4" w:rsidRDefault="00A2745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5D2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9C" w:rsidRDefault="00B2769C">
      <w:pPr>
        <w:spacing w:before="0" w:after="0" w:line="240" w:lineRule="auto"/>
      </w:pPr>
      <w:r>
        <w:separator/>
      </w:r>
    </w:p>
  </w:footnote>
  <w:footnote w:type="continuationSeparator" w:id="0">
    <w:p w:rsidR="00B2769C" w:rsidRDefault="00B2769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258C"/>
    <w:multiLevelType w:val="hybridMultilevel"/>
    <w:tmpl w:val="66867856"/>
    <w:lvl w:ilvl="0" w:tplc="DD9E7E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5BC1B50">
      <w:start w:val="1"/>
      <w:numFmt w:val="lowerLetter"/>
      <w:lvlText w:val="%2."/>
      <w:lvlJc w:val="left"/>
      <w:pPr>
        <w:ind w:left="1440" w:hanging="360"/>
      </w:pPr>
    </w:lvl>
    <w:lvl w:ilvl="2" w:tplc="2034E8E6">
      <w:start w:val="1"/>
      <w:numFmt w:val="lowerRoman"/>
      <w:lvlText w:val="%3."/>
      <w:lvlJc w:val="right"/>
      <w:pPr>
        <w:ind w:left="2160" w:hanging="180"/>
      </w:pPr>
    </w:lvl>
    <w:lvl w:ilvl="3" w:tplc="45B0EA48">
      <w:start w:val="1"/>
      <w:numFmt w:val="decimal"/>
      <w:lvlText w:val="%4."/>
      <w:lvlJc w:val="left"/>
      <w:pPr>
        <w:ind w:left="2880" w:hanging="360"/>
      </w:pPr>
    </w:lvl>
    <w:lvl w:ilvl="4" w:tplc="627EDC8C">
      <w:start w:val="1"/>
      <w:numFmt w:val="lowerLetter"/>
      <w:lvlText w:val="%5."/>
      <w:lvlJc w:val="left"/>
      <w:pPr>
        <w:ind w:left="3600" w:hanging="360"/>
      </w:pPr>
    </w:lvl>
    <w:lvl w:ilvl="5" w:tplc="7A5ECE34">
      <w:start w:val="1"/>
      <w:numFmt w:val="lowerRoman"/>
      <w:lvlText w:val="%6."/>
      <w:lvlJc w:val="right"/>
      <w:pPr>
        <w:ind w:left="4320" w:hanging="180"/>
      </w:pPr>
    </w:lvl>
    <w:lvl w:ilvl="6" w:tplc="56509E62">
      <w:start w:val="1"/>
      <w:numFmt w:val="decimal"/>
      <w:lvlText w:val="%7."/>
      <w:lvlJc w:val="left"/>
      <w:pPr>
        <w:ind w:left="5040" w:hanging="360"/>
      </w:pPr>
    </w:lvl>
    <w:lvl w:ilvl="7" w:tplc="7F7AF8A8">
      <w:start w:val="1"/>
      <w:numFmt w:val="lowerLetter"/>
      <w:lvlText w:val="%8."/>
      <w:lvlJc w:val="left"/>
      <w:pPr>
        <w:ind w:left="5760" w:hanging="360"/>
      </w:pPr>
    </w:lvl>
    <w:lvl w:ilvl="8" w:tplc="0966E6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F27DE"/>
    <w:multiLevelType w:val="hybridMultilevel"/>
    <w:tmpl w:val="7810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96722"/>
    <w:multiLevelType w:val="multilevel"/>
    <w:tmpl w:val="10CA79F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34D518EB"/>
    <w:multiLevelType w:val="hybridMultilevel"/>
    <w:tmpl w:val="43EE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E97FC4"/>
    <w:multiLevelType w:val="hybridMultilevel"/>
    <w:tmpl w:val="95AC8D7C"/>
    <w:lvl w:ilvl="0" w:tplc="60B4770A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53D80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C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9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2B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E2C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80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A89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86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07367"/>
    <w:multiLevelType w:val="multilevel"/>
    <w:tmpl w:val="8528EE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6">
    <w:nsid w:val="4DDB0B69"/>
    <w:multiLevelType w:val="hybridMultilevel"/>
    <w:tmpl w:val="BB123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C00644"/>
    <w:multiLevelType w:val="hybridMultilevel"/>
    <w:tmpl w:val="3A88EE64"/>
    <w:lvl w:ilvl="0" w:tplc="28268DC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6E02A1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25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8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9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0C5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9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20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89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FD7C98"/>
    <w:multiLevelType w:val="multilevel"/>
    <w:tmpl w:val="B064A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C4"/>
    <w:rsid w:val="00026B67"/>
    <w:rsid w:val="00124FCC"/>
    <w:rsid w:val="002975D5"/>
    <w:rsid w:val="002F62CA"/>
    <w:rsid w:val="00373737"/>
    <w:rsid w:val="003D15D2"/>
    <w:rsid w:val="003E3EB9"/>
    <w:rsid w:val="0040134A"/>
    <w:rsid w:val="004531D1"/>
    <w:rsid w:val="004F1BBE"/>
    <w:rsid w:val="005A0835"/>
    <w:rsid w:val="00737B2B"/>
    <w:rsid w:val="00A22E92"/>
    <w:rsid w:val="00A27459"/>
    <w:rsid w:val="00B2769C"/>
    <w:rsid w:val="00CE65F1"/>
    <w:rsid w:val="00D649F6"/>
    <w:rsid w:val="00DB17A1"/>
    <w:rsid w:val="00DC076E"/>
    <w:rsid w:val="00E558C4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customStyle="1" w:styleId="TableParagraph">
    <w:name w:val="Table Paragraph"/>
    <w:basedOn w:val="a"/>
    <w:uiPriority w:val="1"/>
    <w:qFormat/>
    <w:rsid w:val="00A27459"/>
    <w:pPr>
      <w:widowControl w:val="0"/>
      <w:spacing w:before="0" w:beforeAutospacing="0" w:after="0" w:afterAutospacing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customStyle="1" w:styleId="TableParagraph">
    <w:name w:val="Table Paragraph"/>
    <w:basedOn w:val="a"/>
    <w:uiPriority w:val="1"/>
    <w:qFormat/>
    <w:rsid w:val="00A27459"/>
    <w:pPr>
      <w:widowControl w:val="0"/>
      <w:spacing w:before="0" w:beforeAutospacing="0" w:after="0" w:afterAutospacing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library.ru/book/ISBN9785970426401.html" TargetMode="External"/><Relationship Id="rId18" Type="http://schemas.openxmlformats.org/officeDocument/2006/relationships/hyperlink" Target="http://link.springer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udentlibrary.ru/book/ISBN9785222219973.html" TargetMode="External"/><Relationship Id="rId17" Type="http://schemas.openxmlformats.org/officeDocument/2006/relationships/hyperlink" Target="https://www.elsevi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library.ru/book/ISBN978522226387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about/sps/" TargetMode="External"/><Relationship Id="rId10" Type="http://schemas.openxmlformats.org/officeDocument/2006/relationships/hyperlink" Target="http://www.studentlibrary.ru/book/ISBN9785970425206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222263396.html" TargetMode="External"/><Relationship Id="rId14" Type="http://schemas.openxmlformats.org/officeDocument/2006/relationships/hyperlink" Target="http://www.studentlibrary.ru/book/ISBN97859704264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2021-10-23T10:18:00Z</dcterms:created>
  <dcterms:modified xsi:type="dcterms:W3CDTF">2021-10-23T10:28:00Z</dcterms:modified>
</cp:coreProperties>
</file>