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/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54"/>
      </w:tblGrid>
      <w:tr>
        <w:trPr>
          <w:trHeight w:val="1740" w:hRule="atLeast"/>
        </w:trPr>
        <w:tc>
          <w:tcPr>
            <w:tcW w:w="9854" w:type="dxa"/>
            <w:tcBorders/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76" w:before="40" w:after="40"/>
              <w:jc w:val="center"/>
              <w:rPr>
                <w:b/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>министерство образования  и  науки  российской федерации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76" w:before="40" w:after="40"/>
              <w:jc w:val="center"/>
              <w:rPr>
                <w:b/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>
      <w:pPr>
        <w:pStyle w:val="Normal"/>
        <w:keepNext w:val="true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keepNext w:val="true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keepNext w:val="true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8820" w:type="dxa"/>
        <w:jc w:val="left"/>
        <w:tblInd w:w="46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20"/>
      </w:tblGrid>
      <w:tr>
        <w:trPr>
          <w:trHeight w:val="328" w:hRule="atLeast"/>
        </w:trPr>
        <w:tc>
          <w:tcPr>
            <w:tcW w:w="88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информационных технологий, математики и механики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keepNext w:val="true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4536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УТВЕРЖДАЮ</w:t>
      </w:r>
    </w:p>
    <w:p>
      <w:pPr>
        <w:pStyle w:val="Normal"/>
        <w:ind w:left="5670" w:hanging="0"/>
        <w:jc w:val="right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5682" w:type="dxa"/>
        <w:jc w:val="left"/>
        <w:tblInd w:w="388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04"/>
        <w:gridCol w:w="1492"/>
        <w:gridCol w:w="2086"/>
      </w:tblGrid>
      <w:tr>
        <w:trPr>
          <w:trHeight w:val="280" w:hRule="atLeast"/>
        </w:trPr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</w:rPr>
            </w:pPr>
            <w:r>
              <w:rPr/>
              <w:t>Директор</w:t>
            </w:r>
          </w:p>
        </w:tc>
        <w:tc>
          <w:tcPr>
            <w:tcW w:w="149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08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Гергель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/>
      </w:r>
    </w:p>
    <w:tbl>
      <w:tblPr>
        <w:tblW w:w="3939" w:type="dxa"/>
        <w:jc w:val="left"/>
        <w:tblInd w:w="563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5"/>
        <w:gridCol w:w="540"/>
        <w:gridCol w:w="236"/>
        <w:gridCol w:w="305"/>
        <w:gridCol w:w="1620"/>
        <w:gridCol w:w="1002"/>
      </w:tblGrid>
      <w:tr>
        <w:trPr>
          <w:trHeight w:val="280" w:hRule="atLeast"/>
        </w:trPr>
        <w:tc>
          <w:tcPr>
            <w:tcW w:w="2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«</w:t>
            </w:r>
          </w:p>
        </w:tc>
        <w:tc>
          <w:tcPr>
            <w:tcW w:w="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ind w:left="-52" w:hanging="0"/>
              <w:jc w:val="both"/>
              <w:rPr>
                <w:rFonts w:ascii="Times New Roman" w:hAnsi="Times New Roman"/>
              </w:rPr>
            </w:pPr>
            <w:r>
              <w:rPr/>
              <w:t>»</w:t>
            </w:r>
          </w:p>
        </w:tc>
        <w:tc>
          <w:tcPr>
            <w:tcW w:w="30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02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</w:rPr>
            </w:pPr>
            <w:r>
              <w:rPr/>
              <w:t>2016 г.</w:t>
            </w:r>
          </w:p>
        </w:tc>
      </w:tr>
    </w:tbl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Программа </w:t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jc w:val="center"/>
        <w:rPr>
          <w:b/>
          <w:b/>
          <w:sz w:val="32"/>
          <w:szCs w:val="28"/>
          <w:u w:val="single"/>
        </w:rPr>
      </w:pPr>
      <w:r>
        <w:rPr>
          <w:b/>
          <w:sz w:val="28"/>
          <w:szCs w:val="28"/>
        </w:rPr>
        <w:t>государственной итоговой аттестации</w:t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jc w:val="center"/>
        <w:rPr>
          <w:sz w:val="20"/>
        </w:rPr>
      </w:pPr>
      <w:r>
        <w:rPr>
          <w:sz w:val="20"/>
        </w:rPr>
        <w:t xml:space="preserve">     </w:t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spacing w:lineRule="auto" w:line="312"/>
        <w:jc w:val="center"/>
        <w:rPr>
          <w:rFonts w:ascii="Times New Roman" w:hAnsi="Times New Roman"/>
        </w:rPr>
      </w:pPr>
      <w:r>
        <w:rPr/>
        <w:t xml:space="preserve"> </w:t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spacing w:lineRule="auto" w:line="312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spacing w:lineRule="auto" w:line="312"/>
        <w:jc w:val="center"/>
        <w:rPr>
          <w:rFonts w:ascii="Times New Roman" w:hAnsi="Times New Roman"/>
        </w:rPr>
      </w:pPr>
      <w:r>
        <w:rPr/>
        <w:t>Направление подготовки:</w:t>
      </w:r>
    </w:p>
    <w:p>
      <w:pPr>
        <w:pStyle w:val="Normal"/>
        <w:shd w:val="clear" w:color="auto" w:fill="FFFFFF"/>
        <w:tabs>
          <w:tab w:val="left" w:pos="2326" w:leader="underscore"/>
          <w:tab w:val="left" w:pos="6098" w:leader="underscore"/>
          <w:tab w:val="left" w:pos="8489" w:leader="underscore"/>
        </w:tabs>
        <w:spacing w:lineRule="auto" w:line="312"/>
        <w:jc w:val="center"/>
        <w:rPr>
          <w:rFonts w:ascii="Times New Roman" w:hAnsi="Times New Roman"/>
        </w:rPr>
      </w:pPr>
      <w:r>
        <w:rPr>
          <w:rFonts w:eastAsia="Calibri"/>
          <w:b/>
          <w:sz w:val="26"/>
          <w:szCs w:val="26"/>
        </w:rPr>
        <w:t>01.03.01 Математика</w:t>
      </w:r>
      <w:r>
        <w:rPr/>
        <w:t xml:space="preserve"> 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/>
        <w:t>Уровень высшего образования: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бакалавриат</w:t>
            </w:r>
          </w:p>
        </w:tc>
      </w:tr>
    </w:tbl>
    <w:p>
      <w:pPr>
        <w:pStyle w:val="Normal"/>
        <w:shd w:val="clear" w:color="auto" w:fill="FFFFFF"/>
        <w:tabs>
          <w:tab w:val="left" w:pos="3089" w:leader="none"/>
          <w:tab w:val="left" w:pos="8287" w:leader="underscore"/>
        </w:tabs>
        <w:spacing w:lineRule="auto" w:line="312"/>
        <w:jc w:val="center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tabs>
          <w:tab w:val="left" w:pos="3089" w:leader="none"/>
          <w:tab w:val="left" w:pos="8287" w:leader="underscore"/>
        </w:tabs>
        <w:spacing w:lineRule="auto" w:line="312"/>
        <w:jc w:val="center"/>
        <w:rPr>
          <w:rFonts w:ascii="Times New Roman" w:hAnsi="Times New Roman"/>
        </w:rPr>
      </w:pPr>
      <w:r>
        <w:rPr/>
        <w:t>Профиль:</w:t>
      </w:r>
    </w:p>
    <w:tbl>
      <w:tblPr>
        <w:tblW w:w="8820" w:type="dxa"/>
        <w:jc w:val="left"/>
        <w:tblInd w:w="46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20"/>
      </w:tblGrid>
      <w:tr>
        <w:trPr>
          <w:trHeight w:val="328" w:hRule="atLeast"/>
        </w:trPr>
        <w:tc>
          <w:tcPr>
            <w:tcW w:w="88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общий 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tabs>
          <w:tab w:val="left" w:pos="0" w:leader="underscore"/>
          <w:tab w:val="left" w:pos="3089" w:leader="none"/>
          <w:tab w:val="left" w:pos="8287" w:leader="underscore"/>
        </w:tabs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left" w:pos="0" w:leader="underscore"/>
          <w:tab w:val="left" w:pos="3089" w:leader="none"/>
          <w:tab w:val="left" w:pos="8287" w:leader="underscore"/>
        </w:tabs>
        <w:jc w:val="center"/>
        <w:rPr>
          <w:rFonts w:ascii="Times New Roman" w:hAnsi="Times New Roman"/>
        </w:rPr>
      </w:pPr>
      <w:r>
        <w:rPr/>
        <w:t>Квалификация: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бакалавр 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  <w:t>Форма обучения: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очная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/>
        <w:t>Нижний Новгород</w:t>
      </w:r>
    </w:p>
    <w:p>
      <w:pPr>
        <w:pStyle w:val="Normal"/>
        <w:jc w:val="center"/>
        <w:rPr/>
      </w:pPr>
      <w:r>
        <w:rPr/>
        <w:t>2017</w:t>
      </w:r>
      <w:r>
        <w:br w:type="page"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-567" w:leader="none"/>
        </w:tabs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1. МЕСТО ГОСУДАРСТВЕННОЙ ИТОГОВОЙ АТТЕСТАЦИИ В СТРУКТУРЕ ОПОП</w:t>
      </w:r>
    </w:p>
    <w:p>
      <w:pPr>
        <w:pStyle w:val="Normal"/>
        <w:tabs>
          <w:tab w:val="left" w:pos="0" w:leader="none"/>
          <w:tab w:val="left" w:pos="426" w:leader="none"/>
          <w:tab w:val="left" w:pos="993" w:leader="none"/>
        </w:tabs>
        <w:ind w:firstLine="709"/>
        <w:jc w:val="both"/>
        <w:rPr>
          <w:i/>
          <w:i/>
        </w:rPr>
      </w:pPr>
      <w:r>
        <w:rPr/>
        <w:t>Государственная итоговая аттестация (ГИА), завершающая освоение основной профессиональной образовательной программы (ОПОП), проводится государственной экзаменационной комиссией (ГЭК)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ВО).</w:t>
      </w:r>
    </w:p>
    <w:p>
      <w:pPr>
        <w:pStyle w:val="Normal"/>
        <w:tabs>
          <w:tab w:val="left" w:pos="0" w:leader="none"/>
          <w:tab w:val="left" w:pos="426" w:leader="none"/>
          <w:tab w:val="left" w:pos="993" w:leader="none"/>
        </w:tabs>
        <w:ind w:firstLine="709"/>
        <w:jc w:val="both"/>
        <w:rPr>
          <w:rFonts w:ascii="Times New Roman" w:hAnsi="Times New Roman"/>
        </w:rPr>
      </w:pPr>
      <w:r>
        <w:rPr/>
        <w:t xml:space="preserve">Государственная итоговая аттестация выпускников по направлению подготовки </w:t>
      </w:r>
      <w:r>
        <w:rPr>
          <w:rFonts w:eastAsia="Calibri"/>
        </w:rPr>
        <w:t>01.03.01 «Математика»</w:t>
      </w:r>
      <w:r>
        <w:rPr/>
        <w:t xml:space="preserve"> проводится в форме следующих государственных аттестационных испытаний:</w:t>
      </w:r>
    </w:p>
    <w:p>
      <w:pPr>
        <w:pStyle w:val="Normal"/>
        <w:tabs>
          <w:tab w:val="left" w:pos="0" w:leader="none"/>
          <w:tab w:val="left" w:pos="426" w:leader="none"/>
          <w:tab w:val="left" w:pos="993" w:leader="none"/>
        </w:tabs>
        <w:jc w:val="both"/>
        <w:rPr>
          <w:rFonts w:ascii="Times New Roman" w:hAnsi="Times New Roman"/>
        </w:rPr>
      </w:pPr>
      <w:r>
        <w:rPr/>
        <w:t>-</w:t>
        <w:tab/>
        <w:t>подготовка к защите и защита выпускной квалификационной работы.</w:t>
      </w:r>
    </w:p>
    <w:p>
      <w:pPr>
        <w:pStyle w:val="Style17"/>
        <w:tabs>
          <w:tab w:val="left" w:pos="708" w:leader="none"/>
          <w:tab w:val="left" w:pos="822" w:leader="none"/>
        </w:tabs>
        <w:spacing w:lineRule="auto" w:line="276"/>
        <w:ind w:left="0" w:firstLine="720"/>
        <w:rPr>
          <w:rFonts w:ascii="Times New Roman" w:hAnsi="Times New Roman"/>
        </w:rPr>
      </w:pPr>
      <w:r>
        <w:rPr/>
        <w:t xml:space="preserve">Продолжительность государственной </w:t>
      </w:r>
      <w:r>
        <w:rPr>
          <w:color w:val="000000"/>
        </w:rPr>
        <w:t>итоговой</w:t>
      </w:r>
      <w:r>
        <w:rPr/>
        <w:t xml:space="preserve"> аттестации составляет 6 зачетных единиц, 4 недели. Государственная итоговая аттестация проводится в 8 семестре в соответствии с календарным учебным графиком</w:t>
      </w:r>
      <w:r>
        <w:rPr>
          <w:rFonts w:eastAsia="Calibri"/>
        </w:rPr>
        <w:t xml:space="preserve"> по расписанию, утвержденному проректором ННГУ по учебной работе.</w:t>
      </w:r>
    </w:p>
    <w:p>
      <w:pPr>
        <w:pStyle w:val="Style17"/>
        <w:tabs>
          <w:tab w:val="left" w:pos="708" w:leader="none"/>
          <w:tab w:val="left" w:pos="822" w:leader="none"/>
        </w:tabs>
        <w:spacing w:lineRule="auto" w:line="276"/>
        <w:ind w:left="0" w:firstLine="720"/>
        <w:rPr>
          <w:rFonts w:ascii="Times New Roman" w:hAnsi="Times New Roman"/>
        </w:rPr>
      </w:pPr>
      <w:r>
        <w:rPr>
          <w:spacing w:val="-1"/>
        </w:rPr>
        <w:t xml:space="preserve">При условии успешного прохождения государственной </w:t>
      </w:r>
      <w:r>
        <w:rPr>
          <w:color w:val="000000"/>
        </w:rPr>
        <w:t>итоговой</w:t>
      </w:r>
      <w:r>
        <w:rPr>
          <w:spacing w:val="-1"/>
        </w:rPr>
        <w:t xml:space="preserve"> аттестации государственная экзаменационная комиссия принимает решение о присвоении выпускнику</w:t>
      </w:r>
      <w:r>
        <w:rPr/>
        <w:t xml:space="preserve"> квалификации бакалавра по направлению подготовки и выдаче диплома образца, установленного Министерством образования и науки Российской Федерации.</w:t>
      </w:r>
    </w:p>
    <w:p>
      <w:pPr>
        <w:pStyle w:val="Normal"/>
        <w:tabs>
          <w:tab w:val="left" w:pos="0" w:leader="none"/>
          <w:tab w:val="left" w:pos="426" w:leader="none"/>
          <w:tab w:val="left" w:pos="993" w:leader="none"/>
        </w:tabs>
        <w:ind w:firstLine="709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lang w:eastAsia="en-US"/>
        </w:rPr>
        <w:t>2. ТРЕБОВАНИЯ К РЕЗУЛЬТАТАМ ОСВОЕНИЯ ОПОП</w:t>
      </w:r>
    </w:p>
    <w:p>
      <w:pPr>
        <w:pStyle w:val="Normal"/>
        <w:tabs>
          <w:tab w:val="left" w:pos="-567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Выпускник, освоивший </w:t>
      </w:r>
      <w:r>
        <w:rPr/>
        <w:t>основную профессиональную образовательную программу высшего образования</w:t>
      </w:r>
      <w:r>
        <w:rPr>
          <w:color w:val="000000"/>
        </w:rPr>
        <w:t>, готов решать профессиональные задачи в соответствии с видами профессиональной деятельности: научно-исследовательская деятельность,  на которую ориентирована программа бакалавриата</w:t>
      </w:r>
      <w:r>
        <w:rPr>
          <w:color w:val="FF0000"/>
        </w:rPr>
        <w:t xml:space="preserve"> </w:t>
      </w:r>
      <w:r>
        <w:rPr>
          <w:color w:val="000000"/>
        </w:rPr>
        <w:t xml:space="preserve">по направлению подготовки </w:t>
      </w:r>
      <w:r>
        <w:rPr>
          <w:rFonts w:eastAsia="Calibri"/>
        </w:rPr>
        <w:t>01.03.01 «Математика»</w:t>
      </w:r>
      <w:r>
        <w:rPr/>
        <w:t>, профиль общий.</w:t>
      </w:r>
    </w:p>
    <w:p>
      <w:pPr>
        <w:pStyle w:val="Normal"/>
        <w:tabs>
          <w:tab w:val="left" w:pos="1009" w:leader="none"/>
        </w:tabs>
        <w:ind w:firstLine="709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009" w:leader="none"/>
        </w:tabs>
        <w:ind w:firstLine="709"/>
        <w:rPr>
          <w:color w:val="000000"/>
        </w:rPr>
      </w:pPr>
      <w:r>
        <w:rPr>
          <w:color w:val="000000"/>
        </w:rPr>
        <w:t>Результаты освоения образовательной программы</w:t>
      </w:r>
    </w:p>
    <w:p>
      <w:pPr>
        <w:pStyle w:val="Normal"/>
        <w:tabs>
          <w:tab w:val="left" w:pos="1009" w:leader="none"/>
        </w:tabs>
        <w:ind w:firstLine="709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5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 содержание компетенции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освоения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ОК-1</w:t>
            </w:r>
            <w:r>
              <w:rPr>
                <w:sz w:val="22"/>
                <w:szCs w:val="22"/>
              </w:rPr>
              <w:t>: 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основы философских знаний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основы философских знаний для формирования мировоззренческой позиции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формирования мировоззренческой позиции 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ОК-2</w:t>
            </w:r>
            <w:r>
              <w:rPr>
                <w:sz w:val="22"/>
                <w:szCs w:val="22"/>
              </w:rPr>
              <w:t>: 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основные этапы и закономерности исторического развития общества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анализировать основные этапы и закономерности исторического развития общества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формирования гражданской позиции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ОК-3</w:t>
            </w:r>
            <w:r>
              <w:rPr>
                <w:sz w:val="22"/>
                <w:szCs w:val="22"/>
              </w:rPr>
              <w:t>: способность использовать основы экономических знаний в различных сферах жизнедеятельности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основы экономических знаний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основы экономических знаний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использования основ экономических знаний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ОК-4</w:t>
            </w:r>
            <w:r>
              <w:rPr>
                <w:sz w:val="22"/>
                <w:szCs w:val="22"/>
              </w:rPr>
              <w:t>: способность использовать основы правовых знаний в различных сферах жизнедеятельности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основы правовых знаний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основы правовых знаний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использования основ правовых знаний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ОК-5</w:t>
            </w:r>
            <w:r>
              <w:rPr>
                <w:sz w:val="22"/>
                <w:szCs w:val="22"/>
              </w:rPr>
              <w:t>: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средства  коммуникации в устной и письменной формах на русском и иностранном языках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средства  коммуникации в устной и письменной формах на русском и иностранном языках</w:t>
            </w:r>
            <w:r>
              <w:rPr>
                <w:sz w:val="22"/>
                <w:szCs w:val="22"/>
                <w:u w:val="single"/>
              </w:rPr>
              <w:t xml:space="preserve"> Владеть:</w:t>
            </w:r>
            <w:r>
              <w:rPr>
                <w:sz w:val="22"/>
                <w:szCs w:val="22"/>
              </w:rPr>
              <w:t xml:space="preserve"> опытом межличностного и межкультурного взаимодействия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ОК-6</w:t>
            </w:r>
            <w:r>
              <w:rPr>
                <w:sz w:val="22"/>
                <w:szCs w:val="22"/>
              </w:rPr>
              <w:t>: способность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командной работы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работать в команде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толерантного восприятия социальных, этнических, конфессиональных и культурных различий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ОК-7</w:t>
            </w:r>
            <w:r>
              <w:rPr>
                <w:sz w:val="22"/>
                <w:szCs w:val="22"/>
              </w:rPr>
              <w:t>: способность к самоорганизации и самообразованию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самоорганизации и самообразования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методы самообразования и самоорганизации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личностной готовностью к самообразованию и самоорганизации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ОК-8</w:t>
            </w:r>
            <w:r>
              <w:rPr>
                <w:sz w:val="22"/>
                <w:szCs w:val="22"/>
              </w:rPr>
              <w:t>: 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и средства физической культуры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методы и средства физической культуры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использования методов и средств физической культуры для обеспечения полноценной социальной и профессиональной деятельности 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ОК-9</w:t>
            </w:r>
            <w:r>
              <w:rPr>
                <w:sz w:val="22"/>
                <w:szCs w:val="22"/>
              </w:rPr>
              <w:t>: 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приемы первой помощи, методы защиты в условиях чрезвычайных ситуаций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приемы первой помощи, методы защиты в условиях чрезвычайных ситуаций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личностной готовностью использовать приемы первой помощи, методы защиты в условиях чрезвычайных ситуаций 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: 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фундаментальные понятия и результаты из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использования фундаментальных знаний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ОПК-2: </w:t>
            </w:r>
            <w:r>
              <w:rPr>
                <w:sz w:val="22"/>
                <w:szCs w:val="22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 </w:t>
            </w:r>
          </w:p>
          <w:p>
            <w:pPr>
              <w:pStyle w:val="Normal"/>
              <w:tabs>
                <w:tab w:val="left" w:pos="244" w:leader="none"/>
              </w:tabs>
              <w:ind w:left="23" w:hanging="0"/>
              <w:jc w:val="both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ОПК-3</w:t>
            </w:r>
            <w:r>
              <w:rPr>
                <w:sz w:val="22"/>
                <w:szCs w:val="22"/>
              </w:rPr>
              <w:t>: способностью к самостоятельной научно-исследовательской работе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самостоятельной научно-исследовательской работы 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методы научно-исследовательской работы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самостоятельной научно-исследовательской работы 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ОПК-4</w:t>
            </w:r>
            <w:r>
              <w:rPr>
                <w:sz w:val="22"/>
                <w:szCs w:val="22"/>
              </w:rPr>
              <w:t>: способность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</w:t>
            </w:r>
            <w:r>
              <w:rPr>
                <w:sz w:val="22"/>
                <w:szCs w:val="22"/>
                <w:lang w:eastAsia="en-US"/>
              </w:rPr>
              <w:t>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методы </w:t>
            </w:r>
            <w:r>
              <w:rPr>
                <w:sz w:val="22"/>
                <w:szCs w:val="22"/>
                <w:lang w:eastAsia="en-US"/>
              </w:rPr>
              <w:t>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</w:t>
            </w:r>
            <w:r>
              <w:rPr>
                <w:sz w:val="22"/>
                <w:szCs w:val="22"/>
                <w:lang w:eastAsia="en-US"/>
              </w:rPr>
              <w:t>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ПК-1: </w:t>
            </w:r>
            <w:r>
              <w:rPr>
                <w:sz w:val="22"/>
                <w:szCs w:val="22"/>
              </w:rPr>
              <w:t>способность к определению общих форм и закономерностей отдельной предметной области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</w:t>
            </w:r>
            <w:r>
              <w:rPr>
                <w:spacing w:val="-2"/>
                <w:sz w:val="22"/>
                <w:szCs w:val="22"/>
              </w:rPr>
              <w:t>определения общих форм и закономерностей отдельной предметной области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методы </w:t>
            </w:r>
            <w:r>
              <w:rPr>
                <w:spacing w:val="-2"/>
                <w:sz w:val="22"/>
                <w:szCs w:val="22"/>
              </w:rPr>
              <w:t xml:space="preserve">определения общих форм и закономерностей отдельной предметной области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</w:t>
            </w:r>
            <w:r>
              <w:rPr>
                <w:spacing w:val="-2"/>
                <w:sz w:val="22"/>
                <w:szCs w:val="22"/>
              </w:rPr>
              <w:t>определения общих форм и закономерностей отдельной предметной области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ПК-2: </w:t>
            </w:r>
            <w:r>
              <w:rPr>
                <w:sz w:val="22"/>
                <w:szCs w:val="22"/>
              </w:rPr>
              <w:t>способность математически корректно ставить естественнонаучные задачи, знание постановок классических задач математики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математически корректных постановок естественнонаучных задач, знание постановок классических задач математики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математически корректно ставить естественнонаучные задачи,  ставить классические задачи математики 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математически корректных постановок естественнонаучных задач, использования постановок классических задач математики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>: способность строго доказать утверждение, сформулировать результат, увидеть следствия полученного результата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</w:t>
            </w:r>
            <w:r>
              <w:rPr>
                <w:spacing w:val="2"/>
                <w:sz w:val="22"/>
                <w:szCs w:val="22"/>
              </w:rPr>
              <w:t>строгого доказательства утверждений, формулировки результатов, получения следствий полученных результатов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строго доказать утверждение, сформулировать результат, увидеть следствия полученного результата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</w:t>
            </w:r>
            <w:r>
              <w:rPr>
                <w:spacing w:val="2"/>
                <w:sz w:val="22"/>
                <w:szCs w:val="22"/>
              </w:rPr>
              <w:t>строгого доказательства утверждений, формулировки результатов, получения следствий полученного результата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ПК-4</w:t>
            </w:r>
            <w:r>
              <w:rPr>
                <w:sz w:val="22"/>
                <w:szCs w:val="22"/>
              </w:rPr>
              <w:t>: способность публично представлять собственные и известные научные результаты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публичного представления собственных и известных научных результатов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публично представлять собственные и известные научные результаты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публичного представления собственных и известных научных результатов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Style17"/>
        <w:numPr>
          <w:ilvl w:val="0"/>
          <w:numId w:val="2"/>
        </w:numPr>
        <w:tabs>
          <w:tab w:val="left" w:pos="822" w:leader="none"/>
          <w:tab w:val="left" w:pos="993" w:leader="none"/>
        </w:tabs>
        <w:spacing w:lineRule="auto" w:line="240"/>
        <w:rPr>
          <w:b/>
          <w:b/>
        </w:rPr>
      </w:pPr>
      <w:r>
        <w:rPr>
          <w:b/>
        </w:rPr>
        <w:t>ПРОГРАММА ЗАЩИТЫ ВЫПУСКНОЙ КВАЛИФИКАЦИОННОЙ РАБОТЫ</w:t>
      </w:r>
    </w:p>
    <w:p>
      <w:pPr>
        <w:pStyle w:val="Style17"/>
        <w:tabs>
          <w:tab w:val="clear" w:pos="822"/>
        </w:tabs>
        <w:spacing w:lineRule="auto" w:line="240"/>
        <w:ind w:left="-180" w:firstLine="900"/>
        <w:rPr>
          <w:i/>
          <w:i/>
          <w:sz w:val="20"/>
          <w:szCs w:val="20"/>
        </w:rPr>
      </w:pPr>
      <w:r>
        <w:rPr/>
        <w:t>Выпускная квалификационная работа (ВКР) представляет собой выполненную обучающимся работу, демонстрирующую уровень подготовленности выпускника к самостоятельному решению профессиональных задач. Оценка сформированности компетенций на защите ВКР осуществляется на основе содержания ВКР, доклада выпускника на защите, ответов на дополнительные вопросы с учетом предварительных оценок, выставленных в отзыве научным руководителем.</w:t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1072" w:firstLine="403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b/>
          <w:b/>
        </w:rPr>
      </w:pPr>
      <w:r>
        <w:rPr>
          <w:b/>
        </w:rPr>
        <w:t>3.1.</w:t>
      </w:r>
      <w:r>
        <w:rPr/>
        <w:t xml:space="preserve">  </w:t>
      </w:r>
      <w:r>
        <w:rPr>
          <w:b/>
        </w:rPr>
        <w:t>Карта компетенций к защите выпускной квалификационной работы</w:t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21"/>
        <w:gridCol w:w="2982"/>
        <w:gridCol w:w="4751"/>
      </w:tblGrid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Коды компетенций по ФГОС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компетенции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Составляющие компетенции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использовать основы философских знаний для формирования мировоззренческой позиции</w:t>
            </w:r>
          </w:p>
          <w:p>
            <w:pPr>
              <w:pStyle w:val="Normal"/>
              <w:spacing w:lineRule="auto" w:line="276"/>
              <w:ind w:firstLine="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основные философские проблемы современной науки и их интерпретацию при решении конкретных фундаментальных и прикладных задач.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tabs>
                <w:tab w:val="left" w:pos="11" w:leader="none"/>
              </w:tabs>
              <w:ind w:left="11" w:firstLine="39"/>
              <w:rPr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: применять основы философских знаний для анализа проблем и определения путей их решения в конкретных фундаментальных и прикладных задачах. </w:t>
            </w:r>
          </w:p>
          <w:p>
            <w:pPr>
              <w:pStyle w:val="Normal"/>
              <w:tabs>
                <w:tab w:val="left" w:pos="11" w:leader="none"/>
              </w:tabs>
              <w:ind w:left="11"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естественнонаучными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методами познания для решения конкретных фундаментальных и прикладных задач.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основные этапы и закономерности исторического развития общества;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проводить исторический анализ событий.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приемами исторического анализа и исследования.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 xml:space="preserve">: основные положения и методы экономической науки и хозяйствования. </w:t>
            </w: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выбирать и применять методы и средства для анализа экономических отношений в различных сферах деятельности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 xml:space="preserve">: методами анализа экономических отношений в различных сферах деятельности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организационно-правовые формы предприятий; экономико-правовые основы научных разработок и использования программных продуктов.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использовать Гражданский кодекс РФ при решении профессиональных задач и в социальном взаимодействии; использовать международные и отечественные стандарты.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основами документирования программных комплексов в соответствии с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международными и отечественными стандартами.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лексический минимум иностранного языка общего и профессионального характера.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общаться с отечественными и зарубежными коллегами на одном из иностранных языков, осуществлять перевод профессиональных текстов.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навыками разговорной речи на одном из иностранных языков и профессионально-ориентированного перевода текстов, относящихся к различным видам основной профессиональной деятельности.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методы командной работы.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работать в команде, выстраивать партнерские отношения с членами проектной группы; аргументировано отстаивать свою точку зрения; выполнять работы на всех стадиях создания  проекта.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навыками толерантного восприятия социальных, этнических, конфессиональных и культурных различий.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самоорганизации и самообразованию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методы самоорганизации и самообразования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самостоятельно овладевать новыми знаниями в профессиональной области, об информационных технологиях и технологиях программирования в современных средах.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навыками поиска необходимой информации и самостоятельного обучения.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роль и значение занятий физической культурой в укреплении здоровья человека, ведении здорового образа жизни.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: выбирать эффективные оздоровительные и развивающие системы физических упражнений для поддержания физической работоспособности.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физическими упражнениями с общей профессионально-прикладной и оздоровительно-корригирующей направленностью; навыками контроля физической работоспособности.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основы безопасности жизнедеятельности, методы защиты производственного персонала; технику безопасности на производстве.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: находить пути решения сложных ситуаций, связанных с безопасностью жизнедеятельности; использовать средства защиты производственного персонала </w:t>
            </w:r>
          </w:p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 навыками обеспечения безопасности жизнедеятельности, основными способами защиты населения.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 xml:space="preserve">: фундаментальные понятия и результаты из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механики. 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: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механики.  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>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опытом использования фундаментальных знаний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механики.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основные закономерности создания и функционирования информационных процессов; методы и средства поиска, систематизации и обработки научной информации. 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: распознавать опасности и угрозы, возникающие в процессе работы с секретной информацией; применять современные информационные технологии для поиска и обработки научной и технической информации. </w:t>
            </w:r>
          </w:p>
          <w:p>
            <w:pPr>
              <w:pStyle w:val="Normal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 xml:space="preserve">: навыками сбора и обработки научной и технической информации, в том числе содержащей государственную тайну, в соответствии со всеми требованиями по защите информации.  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самостоятельной научно-исследовательской работе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самостоятельной научно-исследовательской работы.  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самостоятельно выполнять научно-исследовательскую работу.</w:t>
            </w:r>
          </w:p>
          <w:p>
            <w:pPr>
              <w:pStyle w:val="Normal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проведения самостоятельной научно-исследовательской работы.   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</w:t>
            </w:r>
            <w:r>
              <w:rPr>
                <w:sz w:val="22"/>
                <w:szCs w:val="22"/>
                <w:lang w:eastAsia="en-US"/>
              </w:rPr>
              <w:t>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систем.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методы </w:t>
            </w:r>
            <w:r>
              <w:rPr>
                <w:sz w:val="22"/>
                <w:szCs w:val="22"/>
                <w:lang w:eastAsia="en-US"/>
              </w:rPr>
              <w:t>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систем.</w:t>
            </w:r>
          </w:p>
          <w:p>
            <w:pPr>
              <w:pStyle w:val="Normal"/>
              <w:spacing w:lineRule="auto" w:line="27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</w:t>
            </w:r>
            <w:r>
              <w:rPr>
                <w:sz w:val="22"/>
                <w:szCs w:val="22"/>
                <w:lang w:eastAsia="en-US"/>
              </w:rPr>
              <w:t xml:space="preserve">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систем.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к определению общих форм и закономерностей отдельной предметной области   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общие формы и закономерности отдельных предметных областей.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методы </w:t>
            </w:r>
            <w:r>
              <w:rPr>
                <w:spacing w:val="-2"/>
                <w:sz w:val="22"/>
                <w:szCs w:val="22"/>
              </w:rPr>
              <w:t xml:space="preserve">определения общих форм и закономерностей отдельной предметной области. </w:t>
            </w:r>
          </w:p>
          <w:p>
            <w:pPr>
              <w:pStyle w:val="Normal"/>
              <w:spacing w:lineRule="auto" w:line="27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</w:t>
            </w:r>
            <w:r>
              <w:rPr>
                <w:spacing w:val="-2"/>
                <w:sz w:val="22"/>
                <w:szCs w:val="22"/>
              </w:rPr>
              <w:t>определения общих форм и закономерностей отдельной предметной области.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математически корректно ставить естественнонаучные задачи, знание постановок классических задач математики  </w:t>
            </w:r>
          </w:p>
          <w:p>
            <w:pPr>
              <w:pStyle w:val="Normal"/>
              <w:spacing w:lineRule="auto" w:line="276"/>
              <w:ind w:firstLine="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ind w:firstLine="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ind w:firstLine="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</w:rPr>
              <w:t>: математически корректные постановки естественнонаучных задач и классических задач математики.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: математически корректно ставить естественнонаучные задачи, ставить классические задачи математики.  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Владеть</w:t>
            </w:r>
            <w:r>
              <w:rPr>
                <w:sz w:val="22"/>
                <w:szCs w:val="22"/>
              </w:rPr>
              <w:t xml:space="preserve">: опытом применения методов математически корректных постановок естественнонаучных задач, использования постановок классических задач математики.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строго доказать утверждение, сформулировать результат, увидеть следствия полученного результата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</w:t>
            </w:r>
            <w:r>
              <w:rPr>
                <w:spacing w:val="2"/>
                <w:sz w:val="22"/>
                <w:szCs w:val="22"/>
              </w:rPr>
              <w:t>строгого доказательства утверждений, формулировки результатов, получения следствий полученных результатов.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строго доказать утверждение, сформулировать результат, увидеть следствия полученного результата. 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применения методов </w:t>
            </w:r>
            <w:r>
              <w:rPr>
                <w:spacing w:val="2"/>
                <w:sz w:val="22"/>
                <w:szCs w:val="22"/>
              </w:rPr>
              <w:t xml:space="preserve">строгого доказательства утверждений, формулировки результатов, получения следствий полученного результата. </w:t>
            </w:r>
          </w:p>
        </w:tc>
      </w:tr>
      <w:tr>
        <w:trPr/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firstLine="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способность публично представлять собственные и известные научные результаты</w:t>
            </w:r>
          </w:p>
          <w:p>
            <w:pPr>
              <w:pStyle w:val="ConsPlusNormal"/>
              <w:spacing w:lineRule="auto" w:line="276"/>
              <w:ind w:firstLine="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spacing w:lineRule="auto" w:line="276"/>
              <w:ind w:firstLine="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spacing w:lineRule="auto" w:line="276"/>
              <w:ind w:firstLine="3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методы публичного представления собственных и известных научных результатов.</w:t>
            </w:r>
          </w:p>
          <w:p>
            <w:pPr>
              <w:pStyle w:val="Normal"/>
              <w:tabs>
                <w:tab w:val="left" w:pos="1009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публично представлять собственные и известные научные результаты. 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Владеть:</w:t>
            </w:r>
            <w:r>
              <w:rPr>
                <w:sz w:val="22"/>
                <w:szCs w:val="22"/>
              </w:rPr>
              <w:t xml:space="preserve"> опытом публичного представления собственных и известных научных результатов.</w:t>
            </w:r>
          </w:p>
        </w:tc>
      </w:tr>
    </w:tbl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Style17"/>
        <w:tabs>
          <w:tab w:val="left" w:pos="822" w:leader="none"/>
          <w:tab w:val="left" w:pos="993" w:leader="none"/>
        </w:tabs>
        <w:spacing w:lineRule="auto" w:line="240"/>
        <w:ind w:left="0" w:hanging="0"/>
        <w:jc w:val="left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3.2. Матрица компетенций, оценка которых вынесена на защиту выпускной квалификационной работы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tbl>
      <w:tblPr>
        <w:tblW w:w="81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90"/>
        <w:gridCol w:w="352"/>
        <w:gridCol w:w="352"/>
        <w:gridCol w:w="353"/>
        <w:gridCol w:w="354"/>
        <w:gridCol w:w="352"/>
        <w:gridCol w:w="353"/>
        <w:gridCol w:w="353"/>
        <w:gridCol w:w="353"/>
        <w:gridCol w:w="347"/>
        <w:gridCol w:w="5"/>
        <w:gridCol w:w="353"/>
        <w:gridCol w:w="352"/>
        <w:gridCol w:w="354"/>
        <w:gridCol w:w="346"/>
        <w:gridCol w:w="6"/>
        <w:gridCol w:w="353"/>
        <w:gridCol w:w="353"/>
        <w:gridCol w:w="353"/>
        <w:gridCol w:w="339"/>
      </w:tblGrid>
      <w:tr>
        <w:trPr>
          <w:trHeight w:val="253" w:hRule="atLeast"/>
        </w:trPr>
        <w:tc>
          <w:tcPr>
            <w:tcW w:w="2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Квалификационное задание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1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Общекультурные</w:t>
            </w:r>
          </w:p>
        </w:tc>
        <w:tc>
          <w:tcPr>
            <w:tcW w:w="14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 -профессиональные</w:t>
            </w:r>
          </w:p>
        </w:tc>
        <w:tc>
          <w:tcPr>
            <w:tcW w:w="1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Профессиональные</w:t>
            </w:r>
          </w:p>
        </w:tc>
      </w:tr>
      <w:tr>
        <w:trPr/>
        <w:tc>
          <w:tcPr>
            <w:tcW w:w="21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Составление плана выполнения квалификационной работы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Обоснование актуальности и новизны квалификационной работы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Составление обзора источников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Постановка математической задачи и ее решение. Построение математической модели и ее анализ. Проведение численного эксперимента.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>
        <w:trPr/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Формулировка выводов и рекомендаций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>
        <w:trPr/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Представление результатов работы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3.3. Фонд оценочных средств для подготовки и защиты выпускной  квалификационной работы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3.3.1. Перечень квалификационных заданий, предусмотренных при выполнении выпускной квалификационной работы</w:t>
      </w:r>
    </w:p>
    <w:p>
      <w:pPr>
        <w:pStyle w:val="Normal"/>
        <w:rPr>
          <w:b/>
          <w:b/>
        </w:rPr>
      </w:pPr>
      <w:r>
        <w:rPr/>
        <w:t>1</w:t>
      </w:r>
      <w:r>
        <w:rPr>
          <w:b/>
        </w:rPr>
        <w:t>.</w:t>
      </w:r>
      <w:r>
        <w:rPr/>
        <w:t xml:space="preserve"> Составление плана выполнения квалификационной работы</w:t>
      </w:r>
    </w:p>
    <w:p>
      <w:pPr>
        <w:pStyle w:val="Normal"/>
        <w:rPr>
          <w:b/>
          <w:b/>
        </w:rPr>
      </w:pPr>
      <w:r>
        <w:rPr/>
        <w:t>2. Обоснование актуальности и новизны квалификационной работы</w:t>
      </w:r>
    </w:p>
    <w:p>
      <w:pPr>
        <w:pStyle w:val="Normal"/>
        <w:rPr>
          <w:rFonts w:ascii="Times New Roman" w:hAnsi="Times New Roman"/>
        </w:rPr>
      </w:pPr>
      <w:r>
        <w:rPr/>
        <w:t>3. Составление обзора источников</w:t>
      </w:r>
    </w:p>
    <w:p>
      <w:pPr>
        <w:pStyle w:val="Normal"/>
        <w:rPr>
          <w:rFonts w:ascii="Times New Roman" w:hAnsi="Times New Roman"/>
        </w:rPr>
      </w:pPr>
      <w:r>
        <w:rPr/>
        <w:t>4. Постановка математической задачи и ее решение. Построение математической модели и ее анализ. Проведение численного эксперимента</w:t>
      </w:r>
    </w:p>
    <w:p>
      <w:pPr>
        <w:pStyle w:val="Normal"/>
        <w:rPr>
          <w:rFonts w:ascii="Times New Roman" w:hAnsi="Times New Roman"/>
        </w:rPr>
      </w:pPr>
      <w:r>
        <w:rPr/>
        <w:t>5. Формулировка выводов и рекомендаций</w:t>
      </w:r>
    </w:p>
    <w:p>
      <w:pPr>
        <w:pStyle w:val="Normal"/>
        <w:rPr>
          <w:b/>
          <w:b/>
        </w:rPr>
      </w:pPr>
      <w:r>
        <w:rPr/>
        <w:t>6. Представление результатов работы (доклад, презентация)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3.3.2. Примерный перечень  вопросов, задаваемых при процедуре защиты  выпускной  квалификационной работы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</w:rPr>
      </w:pPr>
      <w:r>
        <w:rPr/>
        <w:t>1. Какова постановка задачи?</w:t>
      </w:r>
    </w:p>
    <w:p>
      <w:pPr>
        <w:pStyle w:val="Normal"/>
        <w:rPr>
          <w:rFonts w:ascii="Times New Roman" w:hAnsi="Times New Roman"/>
        </w:rPr>
      </w:pPr>
      <w:r>
        <w:rPr/>
        <w:t>2. Какие существуют методы решения поставленной задачи? В чем заключаются преимущества и недостатки?</w:t>
      </w:r>
    </w:p>
    <w:p>
      <w:pPr>
        <w:pStyle w:val="Normal"/>
        <w:rPr>
          <w:rFonts w:ascii="Times New Roman" w:hAnsi="Times New Roman"/>
        </w:rPr>
      </w:pPr>
      <w:r>
        <w:rPr/>
        <w:t>3. Какие результаты известны из научной литературы по тематике поставленной задачи?</w:t>
      </w:r>
    </w:p>
    <w:p>
      <w:pPr>
        <w:pStyle w:val="Normal"/>
        <w:rPr>
          <w:rFonts w:ascii="Times New Roman" w:hAnsi="Times New Roman"/>
        </w:rPr>
      </w:pPr>
      <w:r>
        <w:rPr/>
        <w:t>4. Математическая модель решаемой задачи. Выбранный метод решения задачи, его преимущества.</w:t>
      </w:r>
    </w:p>
    <w:p>
      <w:pPr>
        <w:pStyle w:val="Normal"/>
        <w:rPr>
          <w:rFonts w:ascii="Times New Roman" w:hAnsi="Times New Roman"/>
        </w:rPr>
      </w:pPr>
      <w:r>
        <w:rPr/>
        <w:t>5. Какие алгоритмы и программные средства использовались для решения поставленной задачи?</w:t>
      </w:r>
    </w:p>
    <w:p>
      <w:pPr>
        <w:pStyle w:val="Normal"/>
        <w:widowControl w:val="false"/>
        <w:ind w:left="540" w:hanging="540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3.3.3. Примерные темы выпускных квалификационных работ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О применении преобразования Бореля в теории интерполяции аналитических функций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Аппроксимация функций системой Хаара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Построение асимптотического ряда по методу Лапласа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Математические модели глобальной электрической цепи в атмосфере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Алгоритм решения задачи Дирихле с помощью пар Фишера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Краевые задачи для системы уравнений Максвелла в низкочастотном приближении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Классы Шаттена-фон Неймана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>
          <w:spacing w:val="-2"/>
        </w:rPr>
        <w:t>О свойствах алгоритма Вернера поиска наилучших рациональных приближений функций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Гармонические многочлены в теории пар Фишера применительно к задаче Дирихле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Об одном применении операционного исчисления к решению задачи динамического взаимодействия упругих систем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Рассеяние одномерной частицы на прямоугольном барьере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Исследование уравнения Шредингера для свободной частицы в трубке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Программная реализация представлений многочленов Чебышева, их свойства и приложения в квантовой химии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Асимптотика некоторых специальных функций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>Локализованные и периодические решения стационарного уравнения Брюсселятора.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>
          <w:bCs/>
        </w:rPr>
        <w:t>Хаотическая динамика в обратимых динамических системах.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Предельные циклы и резонансы в уравнении Дюффинга.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О резонаснах и гомоклинических структурах в осцилляторе Дюффинга.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К исследованию транзиторных систем.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О транзиторной модели Фитц Хью-Нагумо.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Исследование динамических систем, моделирующих электродный эффект в атмосфере.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О динамике 3-мерной системы в окрестности контура, содержащего седло-фокус и седловой цикл.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Геометрический анализ сингулярно-возмущенной системы около точки складки медленного многообразия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Бифуркации отображений цилиндра с кубической функцией вращения.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Вычисление числа вращения для отображений цилиндра.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Нидинговые конструкции для инвариантных мер одномерных разрывных отображений с нулевой энтропией.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</w:rPr>
      </w:pPr>
      <w:r>
        <w:rPr/>
        <w:t>Одномерные локально связные континуумы и монотонные отображения на них.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>Частично гиперболические автоморфизмы 4-мерного тора.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>Неальтернирующие гамильтоновы алгебры Ли</w:t>
      </w:r>
      <w:r>
        <w:rPr>
          <w:bCs/>
          <w:lang w:val="en-US"/>
        </w:rPr>
        <w:t>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 xml:space="preserve">Торы в простой </w:t>
      </w:r>
      <w:r>
        <w:rPr>
          <w:bCs/>
          <w:lang w:val="en-US"/>
        </w:rPr>
        <w:t>p</w:t>
      </w:r>
      <w:r>
        <w:rPr>
          <w:bCs/>
        </w:rPr>
        <w:t xml:space="preserve">-алгебре серии </w:t>
      </w:r>
      <w:r>
        <w:rPr>
          <w:bCs/>
          <w:lang w:val="en-US"/>
        </w:rPr>
        <w:t>R</w:t>
      </w:r>
      <w:r>
        <w:rPr>
          <w:bCs/>
        </w:rPr>
        <w:t>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>Когомологии и деформации классических алгебр Ли четной характеристики.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>Симметрии уравнений киральных полей.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>Секционные кривизны римановых многообразий.</w:t>
      </w:r>
    </w:p>
    <w:p>
      <w:pPr>
        <w:pStyle w:val="Normal"/>
        <w:numPr>
          <w:ilvl w:val="0"/>
          <w:numId w:val="4"/>
        </w:numPr>
        <w:rPr>
          <w:bCs/>
        </w:rPr>
      </w:pPr>
      <w:r>
        <w:rPr>
          <w:bCs/>
        </w:rPr>
        <w:t xml:space="preserve">Алгоритмы компьютерной топологии. </w:t>
      </w:r>
    </w:p>
    <w:p>
      <w:pPr>
        <w:pStyle w:val="Normal"/>
        <w:spacing w:before="0" w:after="0"/>
        <w:ind w:left="360" w:hanging="360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3.3.4. Критерии оценивания выпускной квалификационной работы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19"/>
        <w:gridCol w:w="5628"/>
        <w:gridCol w:w="2123"/>
      </w:tblGrid>
      <w:tr>
        <w:trPr/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оценивания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Критерий оценивания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sz w:val="22"/>
                <w:szCs w:val="22"/>
              </w:rPr>
              <w:t xml:space="preserve">Нулевой уровень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знаний, умений, навыков у студента в рамках содержания выпускной квалификационной работы. Студент показал фрагментарные знания. Работа содержит  существенные логические ошибки, оформление не соответствует требованиям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или удовлетворяет не всем требованиям.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Невыполнение квалификационных заданий в рамках соответствующих компетенций, отсутствие ответов на вопросы членов ГЭК.</w:t>
            </w:r>
          </w:p>
          <w:p>
            <w:pPr>
              <w:pStyle w:val="12"/>
              <w:shd w:val="clear" w:color="auto" w:fill="auto"/>
              <w:tabs>
                <w:tab w:val="left" w:pos="1406" w:leader="none"/>
              </w:tabs>
              <w:spacing w:lineRule="exact" w:line="269"/>
              <w:ind w:right="20" w:hanging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C</w:t>
            </w:r>
            <w:r>
              <w:rPr>
                <w:color w:val="00000A"/>
                <w:sz w:val="20"/>
                <w:szCs w:val="20"/>
              </w:rPr>
              <w:t>формированность компетенций не соответствует требованиям ФГОС; выпускник не готов решать профессиональные задачи в соответствии с видами профессиональной деятельности.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>
        <w:trPr>
          <w:trHeight w:val="1896" w:hRule="atLeast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показал недостаточно полный объем знаний в рамках содержания выпускной квалификационной работы.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выпускной работе имеются замечания по содержанию, по глубине проведенного исследования, работа оформлена неаккуратно, работа доложена неубедительно, не на все вопросы членов ГЭК даны удовлетворительные ответы.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задания в рамках соответствующих компетенций выполнены частично.</w:t>
            </w:r>
          </w:p>
          <w:p>
            <w:pPr>
              <w:pStyle w:val="12"/>
              <w:shd w:val="clear" w:color="auto" w:fill="auto"/>
              <w:tabs>
                <w:tab w:val="left" w:pos="1401" w:leader="none"/>
              </w:tabs>
              <w:spacing w:lineRule="exact" w:line="269"/>
              <w:ind w:right="20" w:hanging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C</w:t>
            </w:r>
            <w:r>
              <w:rPr>
                <w:color w:val="00000A"/>
                <w:sz w:val="20"/>
                <w:szCs w:val="20"/>
              </w:rPr>
              <w:t xml:space="preserve">формированность компетенций соответствует требованиям компетентностной модели; выпускник способен решать определенные профессиональные задачи в соответствии с видами профессиональной деятельности.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уровень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показал достаточно полные и систематизированные знания в рамках содержания выпускной квалификационной работы; умение делать обоснованные выводы.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 доложено последовательно и логично, в ответах на вопросы членов ГЭК допускаются одна-две неточности, но эти неточности устраняются при ответах на дополнительные уточняющие вопросы.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задания в рамках соответствующих компетенций выполнены на достаточном уровне.</w:t>
            </w:r>
          </w:p>
          <w:p>
            <w:pPr>
              <w:pStyle w:val="12"/>
              <w:shd w:val="clear" w:color="auto" w:fill="auto"/>
              <w:tabs>
                <w:tab w:val="left" w:pos="1406" w:leader="none"/>
              </w:tabs>
              <w:spacing w:lineRule="exact" w:line="269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C</w:t>
            </w:r>
            <w:r>
              <w:rPr>
                <w:color w:val="00000A"/>
                <w:sz w:val="20"/>
                <w:szCs w:val="20"/>
              </w:rPr>
              <w:t>формированность компетенций соответствует требованиям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компетентностной модели; выпускник готов самостоятельно решать стандартные профессиональные задачи в соответствии с видами профессиональной деятельности.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показал систематизированные, глубокие и полные знания по всей проблеме, рассмотренной в выпускной квалификационной работе;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умение делать обоснованные выводы.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 доложено в краткой форме, последовательно и логично, даны четкие ответы на вопросы, поставленные членами ГЭК.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задания в рамках соответствующих компетенций выполнены в полном объеме на высоком уровне.</w:t>
            </w:r>
          </w:p>
          <w:p>
            <w:pPr>
              <w:pStyle w:val="12"/>
              <w:shd w:val="clear" w:color="auto" w:fill="auto"/>
              <w:tabs>
                <w:tab w:val="left" w:pos="1406" w:leader="none"/>
              </w:tabs>
              <w:spacing w:lineRule="exact" w:line="269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C</w:t>
            </w:r>
            <w:r>
              <w:rPr>
                <w:color w:val="00000A"/>
                <w:sz w:val="20"/>
                <w:szCs w:val="20"/>
              </w:rPr>
              <w:t>формированность компетенций соответствует требованиям компетентностной модели; выпускник готов самостоятельно решать стандартные и нестандартные профессиональные задачи по видам профессиональной деятельности.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>
          <w:rFonts w:ascii="TimesNewRomanPSMT" w:hAnsi="TimesNewRomanPSMT" w:cs="TimesNewRomanPSMT"/>
        </w:rPr>
      </w:pPr>
      <w:r>
        <w:rPr>
          <w:rFonts w:cs="TimesNewRomanPSMT"/>
          <w:b/>
        </w:rPr>
        <w:t>3.4</w:t>
      </w:r>
      <w:r>
        <w:rPr>
          <w:b/>
          <w:bCs/>
        </w:rPr>
        <w:t xml:space="preserve"> </w:t>
      </w:r>
      <w:r>
        <w:rPr>
          <w:b/>
        </w:rPr>
        <w:t>Методические рекомендации по подготовке выпускной квалификационной работы и ее защите</w:t>
      </w:r>
    </w:p>
    <w:p>
      <w:pPr>
        <w:pStyle w:val="Normal"/>
        <w:ind w:firstLine="540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Выпускная квалификационная работа должна содержать следующие элементы: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 xml:space="preserve">- титульный лист установленного образца (см. Приложение 1); 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- аннотация;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- оглавление;</w:t>
      </w:r>
    </w:p>
    <w:p>
      <w:pPr>
        <w:pStyle w:val="Normal"/>
        <w:ind w:left="360" w:hanging="360"/>
        <w:jc w:val="both"/>
        <w:rPr>
          <w:rFonts w:ascii="Times New Roman" w:hAnsi="Times New Roman"/>
        </w:rPr>
      </w:pPr>
      <w:r>
        <w:rPr>
          <w:rFonts w:cs="TimesNewRomanPSMT"/>
        </w:rPr>
        <w:t xml:space="preserve">- </w:t>
      </w:r>
      <w:r>
        <w:rPr/>
        <w:t>список условных обозначений и сокращений (если есть);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- введение (обоснование актуальности темы, цель, задачи и структуру работы);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- основная часть с разбивкой на главы и параграфы, содержащие по тексту ссылки на использованную литературу и приложения;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- заключение;</w:t>
      </w:r>
    </w:p>
    <w:p>
      <w:pPr>
        <w:pStyle w:val="Normal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 xml:space="preserve">- список использованной литературы; </w:t>
      </w:r>
    </w:p>
    <w:p>
      <w:pPr>
        <w:pStyle w:val="Normal"/>
        <w:jc w:val="both"/>
        <w:rPr>
          <w:color w:val="000000"/>
        </w:rPr>
      </w:pPr>
      <w:r>
        <w:rPr>
          <w:rFonts w:cs="TimesNewRomanPSMT"/>
        </w:rPr>
        <w:t xml:space="preserve">- </w:t>
      </w:r>
      <w:r>
        <w:rPr>
          <w:color w:val="000000"/>
        </w:rPr>
        <w:t>приложения, в том числе текст разработанного программного обеспечения (при необходимости).</w:t>
      </w:r>
    </w:p>
    <w:p>
      <w:pPr>
        <w:pStyle w:val="Normal"/>
        <w:ind w:firstLine="540"/>
        <w:jc w:val="both"/>
        <w:rPr>
          <w:rFonts w:ascii="TimesNewRomanPSMT" w:hAnsi="TimesNewRomanPSMT" w:cs="TimesNewRomanPSMT"/>
        </w:rPr>
      </w:pPr>
      <w:r>
        <w:rPr>
          <w:rFonts w:eastAsia="Calibri"/>
          <w:color w:val="000000"/>
          <w:lang w:eastAsia="en-US"/>
        </w:rPr>
        <w:t>Текст ВКР должен быть четким и логичным, оформление работы должно соответствовать правилам оформления научных работ, предусмотренных действующим ГОСТ.</w:t>
      </w:r>
      <w:r>
        <w:rPr>
          <w:rFonts w:cs="TimesNewRomanPSMT"/>
        </w:rPr>
        <w:t xml:space="preserve"> </w:t>
      </w:r>
    </w:p>
    <w:p>
      <w:pPr>
        <w:pStyle w:val="Normal"/>
        <w:ind w:firstLine="540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 xml:space="preserve">Выпускная квалификационная работа должна быть представлена в печатном и электронном видах. Форматы представления ВКР </w:t>
      </w:r>
      <w:r>
        <w:rPr>
          <w:rFonts w:cs="TimesNewRomanPSMT"/>
          <w:lang w:val="en-US"/>
        </w:rPr>
        <w:t>doc</w:t>
      </w:r>
      <w:r>
        <w:rPr>
          <w:rFonts w:cs="TimesNewRomanPSMT"/>
        </w:rPr>
        <w:t xml:space="preserve">, </w:t>
      </w:r>
      <w:r>
        <w:rPr>
          <w:rFonts w:cs="TimesNewRomanPSMT"/>
          <w:lang w:val="en-US"/>
        </w:rPr>
        <w:t>txt</w:t>
      </w:r>
      <w:r>
        <w:rPr>
          <w:rFonts w:cs="TimesNewRomanPSMT"/>
        </w:rPr>
        <w:t xml:space="preserve">, </w:t>
      </w:r>
      <w:r>
        <w:rPr>
          <w:rFonts w:cs="TimesNewRomanPSMT"/>
          <w:lang w:val="en-US"/>
        </w:rPr>
        <w:t>rtf</w:t>
      </w:r>
      <w:r>
        <w:rPr>
          <w:rFonts w:cs="TimesNewRomanPSMT"/>
        </w:rPr>
        <w:t xml:space="preserve"> или </w:t>
      </w:r>
      <w:r>
        <w:rPr>
          <w:rFonts w:cs="TimesNewRomanPSMT"/>
          <w:lang w:val="en-US"/>
        </w:rPr>
        <w:t>pdf</w:t>
      </w:r>
      <w:r>
        <w:rPr>
          <w:rFonts w:cs="TimesNewRomanPSMT"/>
        </w:rPr>
        <w:t xml:space="preserve"> с возможностью доступа к тексту.</w:t>
      </w:r>
    </w:p>
    <w:p>
      <w:pPr>
        <w:pStyle w:val="Normal"/>
        <w:ind w:firstLine="540"/>
        <w:jc w:val="both"/>
        <w:rPr>
          <w:rFonts w:ascii="TimesNewRomanPSMT" w:hAnsi="TimesNewRomanPSMT" w:cs="TimesNewRomanPSMT"/>
        </w:rPr>
      </w:pPr>
      <w:r>
        <w:rPr>
          <w:rFonts w:cs="TimesNewRomanPSMT"/>
        </w:rPr>
        <w:t>Печатный вариант ВКР подписывается автором на титульном листе.</w:t>
      </w:r>
    </w:p>
    <w:p>
      <w:pPr>
        <w:pStyle w:val="Normal"/>
        <w:tabs>
          <w:tab w:val="left" w:pos="0" w:leader="none"/>
          <w:tab w:val="left" w:pos="180" w:leader="none"/>
          <w:tab w:val="left" w:pos="540" w:leader="none"/>
        </w:tabs>
        <w:suppressAutoHyphens w:val="true"/>
        <w:spacing w:lineRule="auto" w:line="276"/>
        <w:ind w:right="113" w:firstLine="540"/>
        <w:jc w:val="both"/>
        <w:rPr>
          <w:lang w:eastAsia="ar-SA"/>
        </w:rPr>
      </w:pPr>
      <w:r>
        <w:rPr/>
        <w:t>Защита выпускной квалификационной работы проводится публично на заседании Государственной экзаменационной комиссии, утвержденной приказом ректора. На защите могут присутствовать научный руководитель и иные заинтересованные лица.</w:t>
      </w:r>
    </w:p>
    <w:p>
      <w:pPr>
        <w:pStyle w:val="Normal"/>
        <w:tabs>
          <w:tab w:val="left" w:pos="0" w:leader="none"/>
          <w:tab w:val="left" w:pos="180" w:leader="none"/>
          <w:tab w:val="left" w:pos="426" w:leader="none"/>
          <w:tab w:val="left" w:pos="540" w:leader="none"/>
        </w:tabs>
        <w:suppressAutoHyphens w:val="true"/>
        <w:spacing w:lineRule="auto" w:line="276"/>
        <w:ind w:right="113" w:firstLine="540"/>
        <w:jc w:val="both"/>
        <w:rPr>
          <w:lang w:eastAsia="ar-SA"/>
        </w:rPr>
      </w:pPr>
      <w:r>
        <w:rPr>
          <w:lang w:eastAsia="ar-SA"/>
        </w:rPr>
        <w:t>Для своего выступления на заседании ГЭК студент должен подготовить   презентацию (</w:t>
      </w:r>
      <w:r>
        <w:rPr/>
        <w:t>не более 10-12 слайдов)</w:t>
      </w:r>
      <w:r>
        <w:rPr>
          <w:lang w:eastAsia="ar-SA"/>
        </w:rPr>
        <w:t xml:space="preserve"> и </w:t>
      </w:r>
      <w:r>
        <w:rPr>
          <w:iCs/>
          <w:lang w:eastAsia="ar-SA"/>
        </w:rPr>
        <w:t>доклад (на 7-10 мин.),</w:t>
      </w:r>
      <w:r>
        <w:rPr>
          <w:lang w:eastAsia="ar-SA"/>
        </w:rPr>
        <w:t xml:space="preserve"> в котором необходимо четко и кратко изложить основные положения работы, уделив особое внимание тому, что сделано лично студентом, какие методы использовал при решении поставленной задачи, какие результаты получил. Докладываются выводы и предложения, их обоснование и практическая значимость. </w:t>
      </w:r>
    </w:p>
    <w:p>
      <w:pPr>
        <w:pStyle w:val="Normal"/>
        <w:tabs>
          <w:tab w:val="left" w:pos="0" w:leader="none"/>
          <w:tab w:val="left" w:pos="180" w:leader="none"/>
          <w:tab w:val="left" w:pos="426" w:leader="none"/>
          <w:tab w:val="left" w:pos="540" w:leader="none"/>
        </w:tabs>
        <w:suppressAutoHyphens w:val="true"/>
        <w:spacing w:lineRule="auto" w:line="276"/>
        <w:ind w:right="113" w:firstLine="540"/>
        <w:jc w:val="both"/>
        <w:rPr>
          <w:lang w:eastAsia="ar-SA"/>
        </w:rPr>
      </w:pPr>
      <w:r>
        <w:rPr>
          <w:lang w:eastAsia="ar-SA"/>
        </w:rPr>
        <w:t xml:space="preserve">Содержание доклада определяется студентом совместно с научным руководителем. Краткий доклад может быть подготовлен письменно, но выступать на защите желательно свободно, не зачитывая текст. 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right="113" w:firstLine="539"/>
        <w:jc w:val="both"/>
        <w:rPr>
          <w:lang w:eastAsia="ar-SA"/>
        </w:rPr>
      </w:pPr>
      <w:r>
        <w:rPr>
          <w:lang w:eastAsia="ar-SA"/>
        </w:rPr>
        <w:t xml:space="preserve">По окончании доклада студенту задают </w:t>
      </w:r>
      <w:r>
        <w:rPr>
          <w:iCs/>
          <w:lang w:eastAsia="ar-SA"/>
        </w:rPr>
        <w:t>вопросы председатель</w:t>
      </w:r>
      <w:r>
        <w:rPr>
          <w:lang w:eastAsia="ar-SA"/>
        </w:rPr>
        <w:t xml:space="preserve"> ГЭК, члены комиссии, присутствующие.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right="113" w:firstLine="539"/>
        <w:jc w:val="both"/>
        <w:rPr>
          <w:iCs/>
          <w:lang w:eastAsia="ar-SA"/>
        </w:rPr>
      </w:pPr>
      <w:r>
        <w:rPr>
          <w:lang w:eastAsia="ar-SA"/>
        </w:rPr>
        <w:t xml:space="preserve">После ответов студента на вопросы зачитывается отзыв научного руководителя. Студенту предоставляется </w:t>
      </w:r>
      <w:r>
        <w:rPr>
          <w:iCs/>
          <w:lang w:eastAsia="ar-SA"/>
        </w:rPr>
        <w:t>заключительное слово для ответов на замечания в отзыве.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right="113" w:firstLine="539"/>
        <w:jc w:val="both"/>
        <w:rPr>
          <w:iCs/>
          <w:color w:val="FF0000"/>
          <w:lang w:eastAsia="ar-SA"/>
        </w:rPr>
      </w:pPr>
      <w:r>
        <w:rPr>
          <w:iCs/>
          <w:lang w:eastAsia="ar-SA"/>
        </w:rPr>
        <w:t>Оценка результата защиты выпускной квалификационной работы обсуждается на закрытом заседании ГЭК</w:t>
      </w:r>
      <w:r>
        <w:rPr>
          <w:lang w:eastAsia="ar-SA"/>
        </w:rPr>
        <w:t xml:space="preserve"> после окончания защиты всех работ</w:t>
      </w:r>
      <w:r>
        <w:rPr>
          <w:iCs/>
          <w:lang w:eastAsia="ar-SA"/>
        </w:rPr>
        <w:t xml:space="preserve">. </w:t>
      </w:r>
      <w:r>
        <w:rPr>
          <w:lang w:eastAsia="ar-SA"/>
        </w:rPr>
        <w:t>При оценке принимаются во внимание новизна и оригинальность полученных студентом результатов, качество выполнения и оформления работы, содержательность доклада и правильность ответов на вопросы,</w:t>
      </w:r>
      <w:r>
        <w:rPr/>
        <w:t xml:space="preserve"> а также исходя из уровня сформированности компетенций выпускника, </w:t>
      </w:r>
      <w:r>
        <w:rPr>
          <w:lang w:eastAsia="ar-SA"/>
        </w:rPr>
        <w:t>при этом учитывается мнение научного руководителя. На закрытом заседании допускается присутствие научных руководителей ВКР.</w:t>
      </w:r>
    </w:p>
    <w:p>
      <w:pPr>
        <w:pStyle w:val="Normal"/>
        <w:tabs>
          <w:tab w:val="left" w:pos="0" w:leader="none"/>
        </w:tabs>
        <w:suppressAutoHyphens w:val="true"/>
        <w:spacing w:lineRule="auto" w:line="276"/>
        <w:ind w:right="113" w:firstLine="539"/>
        <w:jc w:val="both"/>
        <w:rPr>
          <w:lang w:eastAsia="ar-SA"/>
        </w:rPr>
      </w:pPr>
      <w:r>
        <w:rPr>
          <w:lang w:eastAsia="ar-SA"/>
        </w:rPr>
        <w:t xml:space="preserve">По лучшим выпускным квалификационным работам ГЭК отмечает «особую практическую ценность», «научную значимость» и рекомендует оригинальные результаты, полученные студентом, к опубликованию или внедрению в учебный процесс. 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right="113" w:firstLine="540"/>
        <w:jc w:val="both"/>
        <w:rPr>
          <w:lang w:eastAsia="ar-SA"/>
        </w:rPr>
      </w:pPr>
      <w:r>
        <w:rPr>
          <w:lang w:eastAsia="ar-SA"/>
        </w:rPr>
        <w:t xml:space="preserve">Оценка </w:t>
      </w:r>
      <w:r>
        <w:rPr>
          <w:iCs/>
          <w:lang w:eastAsia="ar-SA"/>
        </w:rPr>
        <w:t xml:space="preserve">результата защиты выпускной квалификационной работы </w:t>
      </w:r>
      <w:r>
        <w:rPr>
          <w:lang w:eastAsia="ar-SA"/>
        </w:rPr>
        <w:t>объявляется на открытом заседании ГЭК, объявляемом после закрытого заседания.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right="113" w:firstLine="540"/>
        <w:jc w:val="both"/>
        <w:rPr>
          <w:rFonts w:ascii="Times New Roman" w:hAnsi="Times New Roman"/>
        </w:rPr>
      </w:pPr>
      <w:r>
        <w:rPr>
          <w:lang w:eastAsia="ar-SA"/>
        </w:rPr>
        <w:t>После защиты выпускающая кафедра размещает электронный вариант</w:t>
      </w:r>
      <w:r>
        <w:rPr>
          <w:iCs/>
          <w:lang w:eastAsia="ar-SA"/>
        </w:rPr>
        <w:t xml:space="preserve"> выпускной квалификационной работы, за исключением ВКР, содержащих сведения, составляющие государственную тайну, в электронной библиотечной сети ННГУ в формате </w:t>
      </w:r>
      <w:r>
        <w:rPr>
          <w:iCs/>
          <w:lang w:val="en-US" w:eastAsia="ar-SA"/>
        </w:rPr>
        <w:t>pdf</w:t>
      </w:r>
      <w:r>
        <w:rPr>
          <w:iCs/>
          <w:lang w:eastAsia="ar-SA"/>
        </w:rPr>
        <w:t xml:space="preserve"> без возможности доступа к тексту.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right="113" w:firstLine="540"/>
        <w:jc w:val="both"/>
        <w:rPr>
          <w:iCs/>
          <w:lang w:eastAsia="ar-SA"/>
        </w:rPr>
      </w:pPr>
      <w:r>
        <w:rPr>
          <w:iCs/>
          <w:lang w:eastAsia="ar-SA"/>
        </w:rPr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left="0" w:right="113" w:firstLine="540"/>
        <w:jc w:val="both"/>
        <w:rPr/>
      </w:pPr>
      <w:bookmarkStart w:id="0" w:name="__DdeLink__6038_4135070790"/>
      <w:bookmarkEnd w:id="0"/>
      <w:r>
        <w:rPr>
          <w:b/>
          <w:bCs/>
          <w:iCs/>
          <w:lang w:eastAsia="ar-SA"/>
        </w:rPr>
        <w:t>3.5</w:t>
      </w:r>
      <w:r>
        <w:rPr>
          <w:iCs/>
          <w:lang w:eastAsia="ar-SA"/>
        </w:rPr>
        <w:t xml:space="preserve"> Учебно-методическое и информационное обеспечение подготовки к государственному экзамену</w:t>
      </w:r>
    </w:p>
    <w:p>
      <w:pPr>
        <w:pStyle w:val="Normal"/>
        <w:spacing w:before="240" w:after="0"/>
        <w:ind w:left="567" w:right="0" w:firstLine="426"/>
        <w:rPr>
          <w:sz w:val="23"/>
          <w:szCs w:val="23"/>
        </w:rPr>
      </w:pPr>
      <w:r>
        <w:rPr>
          <w:sz w:val="23"/>
          <w:szCs w:val="23"/>
        </w:rPr>
        <w:t>1. Общие рекомендации по подготовке к защите отчетных и квалификационных работ: Учебно-методическое пособие / Составители: Г.В. Кузенкова, Н.В. Киселева. –Нижний Новгород: Нижегородский госуниверситет, 2010. – 48 с.</w:t>
      </w:r>
    </w:p>
    <w:p>
      <w:pPr>
        <w:pStyle w:val="Normal"/>
        <w:spacing w:before="240" w:after="0"/>
        <w:ind w:left="567" w:right="0" w:firstLine="426"/>
        <w:rPr>
          <w:sz w:val="23"/>
          <w:szCs w:val="23"/>
        </w:rPr>
      </w:pPr>
      <w:r>
        <w:rPr>
          <w:sz w:val="23"/>
          <w:szCs w:val="23"/>
        </w:rPr>
        <w:t>2. Информационные ресурсы:</w:t>
      </w:r>
    </w:p>
    <w:p>
      <w:pPr>
        <w:pStyle w:val="Normal"/>
        <w:ind w:left="567" w:right="0" w:firstLine="425"/>
        <w:rPr/>
      </w:pPr>
      <w:r>
        <w:rPr>
          <w:sz w:val="23"/>
          <w:szCs w:val="23"/>
        </w:rPr>
        <w:t xml:space="preserve">Каталог ГОСТов. – </w:t>
      </w:r>
      <w:r>
        <w:rPr>
          <w:sz w:val="23"/>
          <w:szCs w:val="23"/>
          <w:lang w:val="en-US"/>
        </w:rPr>
        <w:t>URL</w:t>
      </w:r>
      <w:r>
        <w:rPr>
          <w:sz w:val="23"/>
          <w:szCs w:val="23"/>
        </w:rPr>
        <w:t xml:space="preserve">: </w:t>
      </w:r>
      <w:r>
        <w:rPr>
          <w:sz w:val="23"/>
          <w:szCs w:val="23"/>
          <w:lang w:val="en-US"/>
        </w:rPr>
        <w:t>http</w:t>
      </w:r>
      <w:r>
        <w:rPr>
          <w:sz w:val="23"/>
          <w:szCs w:val="23"/>
        </w:rPr>
        <w:t>://</w:t>
      </w:r>
      <w:r>
        <w:rPr>
          <w:sz w:val="23"/>
          <w:szCs w:val="23"/>
          <w:lang w:val="en-US"/>
        </w:rPr>
        <w:t>gost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rucable</w:t>
      </w:r>
      <w:r>
        <w:rPr>
          <w:sz w:val="23"/>
          <w:szCs w:val="23"/>
        </w:rPr>
        <w:t>/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 </w:t>
      </w:r>
    </w:p>
    <w:p>
      <w:pPr>
        <w:pStyle w:val="Normal"/>
        <w:ind w:left="567" w:right="0" w:firstLine="425"/>
        <w:rPr>
          <w:sz w:val="23"/>
          <w:szCs w:val="23"/>
        </w:rPr>
      </w:pPr>
      <w:r>
        <w:rPr>
          <w:sz w:val="23"/>
          <w:szCs w:val="23"/>
        </w:rPr>
        <w:t>ГОСТ 2.105-95. Общие требования к текстовым документам.</w:t>
      </w:r>
    </w:p>
    <w:p>
      <w:pPr>
        <w:pStyle w:val="Normal"/>
        <w:ind w:left="567" w:right="0" w:firstLine="425"/>
        <w:rPr>
          <w:sz w:val="23"/>
          <w:szCs w:val="23"/>
        </w:rPr>
      </w:pPr>
      <w:r>
        <w:rPr>
          <w:sz w:val="23"/>
          <w:szCs w:val="23"/>
        </w:rPr>
        <w:t>ГОСТ 7.32-2001. Отчет о научно-исследовательской работе.</w:t>
      </w:r>
    </w:p>
    <w:p>
      <w:pPr>
        <w:pStyle w:val="Normal"/>
        <w:ind w:left="567" w:right="0" w:firstLine="425"/>
        <w:rPr>
          <w:sz w:val="23"/>
          <w:szCs w:val="23"/>
        </w:rPr>
      </w:pPr>
      <w:r>
        <w:rPr>
          <w:sz w:val="23"/>
          <w:szCs w:val="23"/>
        </w:rPr>
        <w:t>ГОСТ 7.0.5-2008. Библиографическая ссылка.</w:t>
      </w:r>
    </w:p>
    <w:p>
      <w:pPr>
        <w:pStyle w:val="Normal"/>
        <w:ind w:left="567" w:right="0" w:firstLine="425"/>
        <w:rPr/>
      </w:pPr>
      <w:hyperlink r:id="rId2">
        <w:r>
          <w:rPr>
            <w:rStyle w:val="InternetLink"/>
            <w:color w:val="000000"/>
            <w:sz w:val="23"/>
            <w:szCs w:val="23"/>
          </w:rPr>
          <w:t>ГОСТ 7.1-2003. Библиографическая запись. Библиографическое опи</w:t>
          <w:softHyphen/>
          <w:t>сание. Общие требования и правила составления</w:t>
        </w:r>
      </w:hyperlink>
      <w:r>
        <w:rPr>
          <w:sz w:val="23"/>
          <w:szCs w:val="23"/>
        </w:rPr>
        <w:t xml:space="preserve">. </w:t>
      </w:r>
    </w:p>
    <w:p>
      <w:pPr>
        <w:pStyle w:val="Normal"/>
        <w:spacing w:before="0" w:after="160"/>
        <w:ind w:left="567" w:right="0" w:firstLine="425"/>
        <w:rPr/>
      </w:pPr>
      <w:hyperlink r:id="rId3">
        <w:r>
          <w:rPr>
            <w:rStyle w:val="InternetLink"/>
            <w:color w:val="000000"/>
            <w:sz w:val="23"/>
            <w:szCs w:val="23"/>
          </w:rPr>
          <w:t>ГОСТ 7.82-2001. Система стандартов по информации, библиотечному и издательскому делу. Библиографическая запись. Библиографи</w:t>
          <w:softHyphen/>
          <w:t>чес</w:t>
          <w:softHyphen/>
          <w:t>кое описание электронных ресурсов.</w:t>
        </w:r>
      </w:hyperlink>
    </w:p>
    <w:p>
      <w:pPr>
        <w:pStyle w:val="Normal"/>
        <w:ind w:left="567" w:right="0" w:firstLine="426"/>
        <w:rPr>
          <w:sz w:val="23"/>
          <w:szCs w:val="23"/>
        </w:rPr>
      </w:pPr>
      <w:r>
        <w:rPr>
          <w:sz w:val="23"/>
          <w:szCs w:val="23"/>
        </w:rPr>
        <w:t>Единая система программной документации (ЕСПД) (комплекс госу</w:t>
        <w:softHyphen/>
        <w:t>дарственных стандартов, устанавливающих взаимосвязанные правила разработки, оформления и обращения программ и программной докумен</w:t>
        <w:softHyphen/>
        <w:t>тации): ГОСТ 19.001-77 ЕСПД, ГОСТ 19.701-90 (ИСО 5807-85) ЕСПД.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left="360" w:right="0" w:hanging="1320"/>
        <w:jc w:val="center"/>
        <w:rPr>
          <w:rFonts w:ascii="Times New Roman" w:hAnsi="Times New Roman"/>
          <w:lang w:eastAsia="ar-SA"/>
        </w:rPr>
      </w:pPr>
      <w:r>
        <w:rPr>
          <w:lang w:eastAsia="ar-SA"/>
        </w:rPr>
        <w:t>Интернет</w:t>
      </w:r>
      <w:r>
        <w:rPr>
          <w:lang w:val="en-US" w:eastAsia="ar-SA"/>
        </w:rPr>
        <w:t xml:space="preserve"> </w:t>
      </w:r>
      <w:r>
        <w:rPr>
          <w:lang w:eastAsia="ar-SA"/>
        </w:rPr>
        <w:t>браузеры</w:t>
      </w:r>
      <w:r>
        <w:rPr>
          <w:lang w:val="en-US" w:eastAsia="ar-SA"/>
        </w:rPr>
        <w:t xml:space="preserve"> (Microsoft Explorer, Google Chrome, Opera).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left="360" w:right="0" w:hanging="1320"/>
        <w:jc w:val="center"/>
        <w:rPr>
          <w:rFonts w:ascii="Times New Roman" w:hAnsi="Times New Roman"/>
          <w:lang w:val="en-US" w:eastAsia="ar-SA"/>
        </w:rPr>
      </w:pPr>
      <w:r>
        <w:rPr>
          <w:lang w:val="en-US" w:eastAsia="ar-SA"/>
        </w:rPr>
      </w:r>
    </w:p>
    <w:p>
      <w:pPr>
        <w:pStyle w:val="Normal"/>
        <w:widowControl w:val="false"/>
        <w:numPr>
          <w:ilvl w:val="0"/>
          <w:numId w:val="1"/>
        </w:numPr>
        <w:ind w:left="284" w:right="0" w:hanging="360"/>
        <w:jc w:val="both"/>
        <w:rPr>
          <w:b/>
          <w:b/>
        </w:rPr>
      </w:pPr>
      <w:r>
        <w:rPr>
          <w:b/>
        </w:rPr>
        <w:t>МАТЕРИАЛЬНО-ТЕХНИЧЕСКОЕ ОБЕСПЕЧЕНИЕ ГОСУДАРСТВЕННОЙ ИТОГОВОЙ АТТЕСТАЦИИ</w:t>
      </w:r>
    </w:p>
    <w:p>
      <w:pPr>
        <w:pStyle w:val="Style19"/>
        <w:widowControl/>
        <w:bidi w:val="0"/>
        <w:ind w:left="0" w:right="0" w:firstLine="567"/>
        <w:jc w:val="both"/>
        <w:rPr/>
      </w:pPr>
      <w:r>
        <w:rPr/>
        <w:t>Имеются в наличии учебные аудитории для проведения групповых и индивидуальных консультаций, а также помещения для самостоятельной работы, оснащенные компьютерной техникой с возможностью подключения к сети «Интернет».</w:t>
      </w:r>
    </w:p>
    <w:p>
      <w:pPr>
        <w:pStyle w:val="Style19"/>
        <w:widowControl/>
        <w:bidi w:val="0"/>
        <w:ind w:left="0" w:right="0" w:firstLine="567"/>
        <w:jc w:val="left"/>
        <w:rPr/>
      </w:pPr>
      <w:r>
        <w:rPr/>
        <w:t>Имеется в наличии следующая компьютерная техника.</w:t>
      </w:r>
    </w:p>
    <w:p>
      <w:pPr>
        <w:pStyle w:val="Style19"/>
        <w:widowControl/>
        <w:numPr>
          <w:ilvl w:val="0"/>
          <w:numId w:val="3"/>
        </w:numPr>
        <w:bidi w:val="0"/>
        <w:ind w:left="794" w:right="0" w:hanging="340"/>
        <w:jc w:val="left"/>
        <w:rPr/>
      </w:pPr>
      <w:r>
        <w:rPr/>
        <w:t xml:space="preserve">Высокопроизводительный кластер ННГУ (суперкомпьютер «Лобачевский») с производительностью свыше 100 </w:t>
      </w:r>
      <w:r>
        <w:rPr>
          <w:bCs/>
        </w:rPr>
        <w:t>триллионов операций в сек.</w:t>
      </w:r>
    </w:p>
    <w:p>
      <w:pPr>
        <w:pStyle w:val="Style19"/>
        <w:widowControl/>
        <w:numPr>
          <w:ilvl w:val="0"/>
          <w:numId w:val="3"/>
        </w:numPr>
        <w:bidi w:val="0"/>
        <w:ind w:left="794" w:right="0" w:hanging="340"/>
        <w:jc w:val="both"/>
        <w:rPr/>
      </w:pPr>
      <w:r>
        <w:rPr/>
        <w:t xml:space="preserve">Высокопроизводительный кластер ННГУ – пиковая производительность 17,5 триллиона операций в сек. </w:t>
      </w:r>
    </w:p>
    <w:p>
      <w:pPr>
        <w:pStyle w:val="Style19"/>
        <w:widowControl/>
        <w:numPr>
          <w:ilvl w:val="0"/>
          <w:numId w:val="3"/>
        </w:numPr>
        <w:bidi w:val="0"/>
        <w:ind w:left="794" w:right="0" w:hanging="340"/>
        <w:jc w:val="both"/>
        <w:rPr/>
      </w:pPr>
      <w:r>
        <w:rPr/>
        <w:t>Современные средства вычислительной техники и программного обеспечения  лабораторий кафедр Института информационных технологий, математики и механики.</w:t>
      </w:r>
    </w:p>
    <w:p>
      <w:pPr>
        <w:pStyle w:val="Normal"/>
        <w:tabs>
          <w:tab w:val="left" w:pos="426" w:leader="none"/>
        </w:tabs>
        <w:suppressAutoHyphens w:val="true"/>
        <w:spacing w:lineRule="auto" w:line="276"/>
        <w:ind w:left="0" w:right="113" w:firstLine="540"/>
        <w:jc w:val="both"/>
        <w:rPr>
          <w:bCs/>
          <w:iCs/>
          <w:lang w:val="en-US" w:eastAsia="ar-SA"/>
        </w:rPr>
      </w:pPr>
      <w:r>
        <w:rPr>
          <w:bCs/>
          <w:iCs/>
          <w:lang w:val="en-US" w:eastAsia="ar-SA"/>
        </w:rPr>
      </w:r>
      <w:bookmarkStart w:id="1" w:name="__DdeLink__6038_41350707901"/>
      <w:bookmarkStart w:id="2" w:name="__DdeLink__6038_41350707901"/>
      <w:bookmarkEnd w:id="2"/>
      <w:r>
        <w:br w:type="page"/>
      </w:r>
    </w:p>
    <w:p>
      <w:pPr>
        <w:pStyle w:val="Normal"/>
        <w:jc w:val="both"/>
        <w:rPr>
          <w:rFonts w:ascii="Times New Roman" w:hAnsi="Times New Roman"/>
        </w:rPr>
      </w:pPr>
      <w:r>
        <w:rPr/>
        <w:t xml:space="preserve">Программа составлена в соответствии с требованиями ФГОС ВО с учетом рекомендаций ОПОП ВО по направлению </w:t>
      </w:r>
      <w:r>
        <w:rPr>
          <w:color w:val="000000"/>
        </w:rPr>
        <w:t>01.03.01</w:t>
      </w:r>
      <w:r>
        <w:rPr/>
        <w:t xml:space="preserve"> «Математика» (общий профиль).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/>
        <w:t>Авторы:</w:t>
      </w:r>
      <w:r>
        <w:rPr>
          <w:sz w:val="28"/>
        </w:rPr>
        <w:t xml:space="preserve"> </w:t>
      </w:r>
      <w:r>
        <w:rPr>
          <w:sz w:val="22"/>
          <w:szCs w:val="22"/>
          <w:u w:val="single"/>
        </w:rPr>
        <w:t>к.ф.-м.н., доцент кафедры ТУиДС, зам. директора ИИТММ ___________</w:t>
      </w:r>
      <w:r>
        <w:rPr/>
        <w:t>Киселева Н.В.</w:t>
      </w:r>
      <w:r>
        <w:rPr>
          <w:i/>
          <w:sz w:val="28"/>
        </w:rPr>
        <w:t xml:space="preserve"> </w:t>
      </w:r>
    </w:p>
    <w:p>
      <w:pPr>
        <w:pStyle w:val="Normal"/>
        <w:rPr>
          <w:sz w:val="28"/>
          <w:u w:val="single"/>
        </w:rPr>
      </w:pPr>
      <w:r>
        <w:rPr>
          <w:sz w:val="28"/>
        </w:rPr>
        <w:t xml:space="preserve">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д</w:t>
      </w:r>
      <w:r>
        <w:rPr>
          <w:sz w:val="22"/>
          <w:szCs w:val="22"/>
        </w:rPr>
        <w:t xml:space="preserve"> </w:t>
      </w:r>
      <w:r>
        <w:rPr>
          <w:sz w:val="28"/>
          <w:u w:val="single"/>
        </w:rPr>
        <w:t>.</w:t>
      </w:r>
      <w:r>
        <w:rPr>
          <w:sz w:val="22"/>
          <w:szCs w:val="22"/>
          <w:u w:val="single"/>
        </w:rPr>
        <w:t>ф.-м.н., профессор, зав. кафедрой АГДМ________________________ Кузнецов М.И.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/>
        <w:t>Рецензент</w:t>
      </w:r>
      <w:r>
        <w:rPr>
          <w:sz w:val="28"/>
        </w:rPr>
        <w:t xml:space="preserve"> ________________________________________________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  <w:t>Программа одобрена на заседании методической комиссии Института информационных технологий, математики и механики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от  ____________ 2017 года, протокол № ________.</w:t>
      </w:r>
    </w:p>
    <w:p>
      <w:pPr>
        <w:pStyle w:val="11"/>
        <w:ind w:left="910" w:hanging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Heading1"/>
        <w:spacing w:before="0" w:after="360"/>
        <w:jc w:val="righ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Приложение 1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Образец оформления титульного листа ВКР бакалавра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  <w:br/>
      </w:r>
      <w:r>
        <w:rPr>
          <w:b/>
          <w:sz w:val="28"/>
          <w:szCs w:val="28"/>
        </w:rPr>
        <w:t xml:space="preserve">«Национальный исследовательский </w:t>
        <w:br/>
        <w:t>Нижегородский государственный университет им. Н.И. Лобачевского»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Кафедра: Название кафедры</w:t>
      </w:r>
    </w:p>
    <w:p>
      <w:pPr>
        <w:pStyle w:val="Title"/>
        <w:ind w:firstLine="18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подготовки: «Математика»</w:t>
      </w:r>
    </w:p>
    <w:p>
      <w:pPr>
        <w:pStyle w:val="Normal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подготовки: «Общий»</w:t>
      </w:r>
    </w:p>
    <w:p>
      <w:pPr>
        <w:pStyle w:val="Normal"/>
        <w:ind w:firstLine="18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18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18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1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 БАКАЛАВРА</w:t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>
      <w:pPr>
        <w:pStyle w:val="Normal"/>
        <w:ind w:firstLine="1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«Название работы»</w:t>
      </w:r>
    </w:p>
    <w:p>
      <w:pPr>
        <w:pStyle w:val="Normal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8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4678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78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78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78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78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Выполнил(а):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тудент(ка) группы ____</w:t>
      </w:r>
    </w:p>
    <w:p>
      <w:pPr>
        <w:pStyle w:val="Normal"/>
        <w:ind w:left="4678" w:hang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_______________________ФИО</w:t>
      </w:r>
    </w:p>
    <w:p>
      <w:pPr>
        <w:pStyle w:val="Normal"/>
        <w:tabs>
          <w:tab w:val="left" w:pos="3261" w:leader="none"/>
        </w:tabs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Normal"/>
        <w:tabs>
          <w:tab w:val="left" w:pos="3261" w:leader="none"/>
        </w:tabs>
        <w:ind w:left="4678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78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руководитель:</w:t>
      </w:r>
    </w:p>
    <w:p>
      <w:pPr>
        <w:pStyle w:val="Normal"/>
        <w:ind w:left="4678" w:hanging="0"/>
        <w:rPr>
          <w:sz w:val="28"/>
          <w:szCs w:val="28"/>
        </w:rPr>
      </w:pPr>
      <w:r>
        <w:rPr>
          <w:sz w:val="28"/>
          <w:szCs w:val="28"/>
        </w:rPr>
        <w:t xml:space="preserve">Должность, уч. степень </w:t>
      </w:r>
    </w:p>
    <w:p>
      <w:pPr>
        <w:pStyle w:val="Normal"/>
        <w:tabs>
          <w:tab w:val="left" w:pos="3261" w:leader="none"/>
        </w:tabs>
        <w:ind w:left="4678" w:hang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_______________________ФИО</w:t>
      </w:r>
    </w:p>
    <w:p>
      <w:pPr>
        <w:pStyle w:val="Normal"/>
        <w:tabs>
          <w:tab w:val="left" w:pos="3261" w:leader="none"/>
        </w:tabs>
        <w:ind w:left="4678" w:hanging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Подпись</w:t>
      </w:r>
    </w:p>
    <w:p>
      <w:pPr>
        <w:pStyle w:val="Normal"/>
        <w:tabs>
          <w:tab w:val="left" w:pos="3261" w:leader="none"/>
        </w:tabs>
        <w:ind w:left="4678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80"/>
        <w:jc w:val="center"/>
        <w:rPr>
          <w:sz w:val="28"/>
          <w:szCs w:val="28"/>
        </w:rPr>
      </w:pPr>
      <w:bookmarkStart w:id="3" w:name="_Toc450125932"/>
      <w:r>
        <w:rPr>
          <w:sz w:val="28"/>
          <w:szCs w:val="28"/>
        </w:rPr>
        <w:t>Нижний Новгород</w:t>
        <w:br/>
        <w:t>20__</w:t>
      </w:r>
      <w:bookmarkEnd w:id="3"/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ind w:firstLine="709"/>
        <w:jc w:val="right"/>
        <w:rPr>
          <w:rFonts w:ascii="Times New Roman" w:hAnsi="Times New Roman"/>
        </w:rPr>
      </w:pPr>
      <w:r>
        <w:rPr/>
        <w:t>Приложение 2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ОТЗЫВ НАУЧНОГО РУКОВОДИТЕЛЯ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85"/>
        <w:gridCol w:w="1418"/>
        <w:gridCol w:w="851"/>
        <w:gridCol w:w="315"/>
        <w:gridCol w:w="3963"/>
      </w:tblGrid>
      <w:tr>
        <w:trPr/>
        <w:tc>
          <w:tcPr>
            <w:tcW w:w="9632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142" w:hanging="142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142" w:hanging="142"/>
              <w:jc w:val="center"/>
              <w:rPr>
                <w:i/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>
        <w:trPr/>
        <w:tc>
          <w:tcPr>
            <w:tcW w:w="5354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142" w:hanging="142"/>
              <w:rPr>
                <w:b/>
                <w:b/>
              </w:rPr>
            </w:pPr>
            <w:r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78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142" w:hanging="142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142" w:hanging="142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142" w:hanging="142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0"/>
              <w:ind w:left="142" w:hanging="142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669" w:type="dxa"/>
            <w:gridSpan w:val="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142" w:hanging="142"/>
              <w:rPr>
                <w:b/>
                <w:b/>
              </w:rPr>
            </w:pPr>
            <w:r>
              <w:rPr>
                <w:b/>
              </w:rPr>
              <w:t xml:space="preserve">квалификация </w:t>
            </w:r>
            <w:r>
              <w:rPr/>
              <w:t>(бакалавр, магистр, специалист)</w:t>
            </w:r>
            <w:r>
              <w:rPr>
                <w:b/>
              </w:rPr>
              <w:t xml:space="preserve"> </w:t>
            </w:r>
            <w:r>
              <w:rPr/>
              <w:t xml:space="preserve"> </w:t>
            </w:r>
          </w:p>
        </w:tc>
        <w:tc>
          <w:tcPr>
            <w:tcW w:w="396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142" w:hanging="142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503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29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142" w:hanging="142"/>
              <w:jc w:val="center"/>
              <w:rPr>
                <w:b/>
                <w:b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142" w:hanging="142"/>
              <w:rPr>
                <w:b/>
                <w:b/>
              </w:rPr>
            </w:pPr>
            <w:r>
              <w:rPr>
                <w:b/>
              </w:rPr>
              <w:t xml:space="preserve">направление подготовки:         </w:t>
            </w:r>
          </w:p>
        </w:tc>
        <w:tc>
          <w:tcPr>
            <w:tcW w:w="6547" w:type="dxa"/>
            <w:gridSpan w:val="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42" w:hanging="142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ind w:left="142" w:hanging="142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ind w:left="142" w:hanging="142"/>
        <w:jc w:val="center"/>
        <w:rPr>
          <w:rFonts w:ascii="Times New Roman" w:hAnsi="Times New Roman"/>
        </w:rPr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  <w:r>
        <w:rPr/>
        <w:t>(представлена в Приложении А к отзыву научного руководителя)</w:t>
      </w:r>
    </w:p>
    <w:p>
      <w:pPr>
        <w:pStyle w:val="Normal"/>
        <w:ind w:left="142" w:hanging="142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ind w:left="142" w:hanging="142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111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137"/>
        <w:gridCol w:w="415"/>
        <w:gridCol w:w="412"/>
        <w:gridCol w:w="222"/>
      </w:tblGrid>
      <w:tr>
        <w:trPr/>
        <w:tc>
          <w:tcPr>
            <w:tcW w:w="10137" w:type="dxa"/>
            <w:tcBorders/>
            <w:shd w:fill="auto" w:val="clear"/>
            <w:vAlign w:val="bottom"/>
          </w:tcPr>
          <w:p>
            <w:pPr>
              <w:pStyle w:val="Normal"/>
              <w:ind w:left="667" w:hanging="142"/>
              <w:rPr>
                <w:rFonts w:ascii="Times New Roman" w:hAnsi="Times New Roman"/>
              </w:rPr>
            </w:pPr>
            <w:r>
              <w:rPr/>
              <w:t xml:space="preserve">                </w:t>
            </w:r>
            <w:r>
              <w:rPr/>
              <w:t xml:space="preserve">Объём заимствований из общедоступных источников </w:t>
            </w:r>
            <w:r>
              <w:rPr>
                <w:b/>
              </w:rPr>
              <w:t>считать допустимым/не   допустимым</w:t>
            </w:r>
            <w:r>
              <w:rPr/>
              <w:t xml:space="preserve"> </w:t>
            </w:r>
            <w:r>
              <w:rPr>
                <w:i/>
              </w:rPr>
              <w:t>(указать)</w:t>
            </w:r>
            <w:r>
              <w:rPr/>
              <w:t xml:space="preserve">  </w:t>
            </w:r>
          </w:p>
          <w:p>
            <w:pPr>
              <w:pStyle w:val="Normal"/>
              <w:ind w:left="667" w:hanging="142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15" w:type="dxa"/>
            <w:tcBorders/>
            <w:shd w:fill="auto" w:val="clear"/>
            <w:vAlign w:val="bottom"/>
          </w:tcPr>
          <w:p>
            <w:pPr>
              <w:pStyle w:val="Normal"/>
              <w:ind w:left="142" w:hanging="142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1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1096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Соответствие выпускной квалификационной работы требованиям</w:t>
            </w:r>
            <w:r>
              <w:rPr>
                <w:rStyle w:val="FootnoteAnchor"/>
                <w:rStyle w:val="FootnoteAnchor"/>
                <w:b/>
              </w:rPr>
              <w:footnoteReference w:id="2"/>
            </w:r>
          </w:p>
          <w:tbl>
            <w:tblPr>
              <w:tblW w:w="9638" w:type="dxa"/>
              <w:jc w:val="center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8053"/>
              <w:gridCol w:w="1584"/>
            </w:tblGrid>
            <w:tr>
              <w:trPr>
                <w:trHeight w:val="148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>
                    <w:rPr>
                      <w:sz w:val="16"/>
                      <w:szCs w:val="16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  <w:r>
                    <w:rPr>
                      <w:color w:val="C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 Практическая значимость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80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  Оценка личного  вклада автора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20" w:after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spacing w:before="120" w:after="0"/>
              <w:rPr>
                <w:rFonts w:ascii="Times New Roman" w:hAnsi="Times New Roman"/>
              </w:rPr>
            </w:pPr>
            <w:r>
              <w:rPr/>
              <w:t xml:space="preserve">    </w:t>
            </w:r>
            <w:r>
              <w:rPr/>
              <w:t>Недостатки работы :____________________________________________________________</w:t>
            </w:r>
          </w:p>
          <w:p>
            <w:pPr>
              <w:pStyle w:val="Normal"/>
              <w:spacing w:before="120" w:after="0"/>
              <w:rPr>
                <w:rFonts w:ascii="Times New Roman" w:hAnsi="Times New Roman"/>
              </w:rPr>
            </w:pPr>
            <w:r>
              <w:rPr/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0481"/>
              <w:gridCol w:w="267"/>
            </w:tblGrid>
            <w:tr>
              <w:trPr>
                <w:trHeight w:val="871" w:hRule="atLeast"/>
              </w:trPr>
              <w:tc>
                <w:tcPr>
                  <w:tcW w:w="10481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rPr>
                      <w:rFonts w:ascii="Times New Roman" w:hAnsi="Times New Roman"/>
                    </w:rPr>
                  </w:pPr>
                  <w:r>
                    <w:rPr/>
                  </w:r>
                </w:p>
                <w:p>
                  <w:pPr>
                    <w:pStyle w:val="Normal"/>
                    <w:rPr>
                      <w:rFonts w:ascii="Times New Roman" w:hAnsi="Times New Roman"/>
                    </w:rPr>
                  </w:pPr>
                  <w:r>
                    <w:rPr/>
                  </w:r>
                </w:p>
                <w:p>
                  <w:pPr>
                    <w:pStyle w:val="Normal"/>
                    <w:rPr>
                      <w:rFonts w:ascii="Times New Roman" w:hAnsi="Times New Roman"/>
                    </w:rPr>
                  </w:pPr>
                  <w:r>
                    <w:rPr/>
                    <w:t>Общее заключение о соответствии выпускной квалификационной работы требованиям:</w:t>
                  </w:r>
                </w:p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/>
                    <w:t>ВКР установленным в ОПОП требованиям  соответствует / частично соответствует / не соответствует   (</w:t>
                  </w:r>
                  <w:r>
                    <w:rPr>
                      <w:i/>
                      <w:u w:val="single"/>
                    </w:rPr>
                    <w:t>нужное подчеркнуть</w:t>
                  </w:r>
                  <w:r>
                    <w:rPr/>
                    <w:t>)</w:t>
                  </w:r>
                </w:p>
              </w:tc>
              <w:tc>
                <w:tcPr>
                  <w:tcW w:w="267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rPr>
                      <w:rFonts w:ascii="Times New Roman" w:hAnsi="Times New Roman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tbl>
            <w:tblPr>
              <w:tblW w:w="10463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6318"/>
              <w:gridCol w:w="3890"/>
              <w:gridCol w:w="255"/>
            </w:tblGrid>
            <w:tr>
              <w:trPr>
                <w:trHeight w:val="827" w:hRule="atLeast"/>
              </w:trPr>
              <w:tc>
                <w:tcPr>
                  <w:tcW w:w="6318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rPr>
                      <w:rFonts w:ascii="Times New Roman" w:hAnsi="Times New Roman"/>
                    </w:rPr>
                  </w:pPr>
                  <w:r>
                    <w:rPr/>
                    <w:t xml:space="preserve">Обобщенная оценка содержательной части </w:t>
                  </w:r>
                </w:p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/>
                    <w:t xml:space="preserve">выпускной квалификационной работы </w:t>
                  </w:r>
                  <w:r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top w:val="single" w:sz="4" w:space="0" w:color="00000A"/>
                    <w:bottom w:val="single" w:sz="4" w:space="0" w:color="00000A"/>
                    <w:insideH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5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rPr>
                      <w:rFonts w:ascii="Times New Roman" w:hAnsi="Times New Roman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20" w:after="0"/>
              <w:rPr>
                <w:rFonts w:ascii="Times New Roman" w:hAnsi="Times New Roman"/>
              </w:rPr>
            </w:pPr>
            <w:r>
              <w:rPr/>
              <w:t xml:space="preserve">_____________________________________________________________________________________  </w:t>
            </w:r>
          </w:p>
        </w:tc>
        <w:tc>
          <w:tcPr>
            <w:tcW w:w="22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  <w:t>Научный руководитель:</w:t>
      </w:r>
    </w:p>
    <w:tbl>
      <w:tblPr>
        <w:tblW w:w="10764" w:type="dxa"/>
        <w:jc w:val="left"/>
        <w:tblInd w:w="-45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919"/>
        <w:gridCol w:w="1775"/>
        <w:gridCol w:w="2811"/>
        <w:gridCol w:w="258"/>
      </w:tblGrid>
      <w:tr>
        <w:trPr>
          <w:trHeight w:val="724" w:hRule="atLeast"/>
        </w:trPr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81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Расшифровка подписи</w:t>
            </w:r>
          </w:p>
        </w:tc>
        <w:tc>
          <w:tcPr>
            <w:tcW w:w="25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>«</w:t>
      </w:r>
      <w:r>
        <w:rPr>
          <w:u w:val="single"/>
        </w:rPr>
        <w:t xml:space="preserve">           </w:t>
      </w:r>
      <w:r>
        <w:rPr/>
        <w:t>»</w:t>
      </w:r>
      <w:r>
        <w:rPr>
          <w:u w:val="single"/>
        </w:rPr>
        <w:t xml:space="preserve">                                       </w:t>
      </w:r>
      <w:r>
        <w:rPr/>
        <w:t>20</w:t>
      </w:r>
      <w:r>
        <w:rPr>
          <w:u w:val="single"/>
        </w:rPr>
        <w:t xml:space="preserve">      </w:t>
      </w:r>
      <w:r>
        <w:rPr/>
        <w:t>г.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right"/>
        <w:rPr>
          <w:b/>
          <w:b/>
        </w:rPr>
      </w:pPr>
      <w:r>
        <w:rPr>
          <w:b/>
        </w:rPr>
        <w:t>Приложение А</w:t>
      </w:r>
    </w:p>
    <w:p>
      <w:pPr>
        <w:pStyle w:val="Normal"/>
        <w:jc w:val="right"/>
        <w:rPr>
          <w:rFonts w:ascii="Times New Roman" w:hAnsi="Times New Roman"/>
        </w:rPr>
      </w:pPr>
      <w:r>
        <w:rPr/>
        <w:t>к отзыву научного руководителя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</w:t>
      </w:r>
    </w:p>
    <w:p>
      <w:pPr>
        <w:pStyle w:val="Normal"/>
        <w:ind w:left="142" w:hanging="142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tbl>
      <w:tblPr>
        <w:tblW w:w="955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11"/>
        <w:gridCol w:w="1648"/>
        <w:gridCol w:w="1899"/>
      </w:tblGrid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Обобщенная  оценка сформированности компетенции</w:t>
            </w:r>
            <w:r>
              <w:rPr>
                <w:rStyle w:val="FootnoteAnchor"/>
                <w:rStyle w:val="FootnoteAnchor"/>
                <w:sz w:val="16"/>
                <w:szCs w:val="16"/>
              </w:rPr>
              <w:footnoteReference w:id="3"/>
            </w:r>
          </w:p>
        </w:tc>
      </w:tr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1. Составление плана выполнения квалификационной работы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OK</w:t>
            </w:r>
            <w:r>
              <w:rPr>
                <w:sz w:val="20"/>
                <w:szCs w:val="20"/>
              </w:rPr>
              <w:t>6, ОК7,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ОК8, ПК2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2. Обоснование актуальности и новизны квалификационной работы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ОК1, ОК3, 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ОК7, ОПК1,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ПК1, ПК2 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3. Составление обзора источников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ОК5, ОК7,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ОПК1, ОПК2,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ОПК4, ПК1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z w:val="20"/>
                <w:szCs w:val="20"/>
              </w:rPr>
              <w:t>Постановка математической задачи и ее решение. Построение математической модели и ее анализ. Проведение численного эксперимента.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ОК6, ОК7, 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ОК8, ОК9,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ОПК1, ОПК2, 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ОПК3, ОПК4,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ПК1, ПК2, 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ПК3, ПК4 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5. Формулировка выводов и рекомендаций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ОК4, 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ОК7,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ОПК1, ОПК2, ОПК3,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ПК1, ПК3, 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6. Представление результатов работы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ОК7,</w:t>
            </w:r>
          </w:p>
          <w:p>
            <w:pPr>
              <w:pStyle w:val="Normal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  <w:t xml:space="preserve"> 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>Подпись руководителя:   ___________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NewRomanPSMT">
    <w:charset w:val="01"/>
    <w:family w:val="roman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rStyle w:val="FootnoteCharacters"/>
        </w:rPr>
        <w:tab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rStyle w:val="FootnoteCharacters"/>
        </w:rPr>
        <w:tab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Интегральная оценка сформированности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4.%1"/>
      <w:lvlJc w:val="left"/>
      <w:pPr>
        <w:tabs>
          <w:tab w:val="num" w:pos="786"/>
        </w:tabs>
        <w:ind w:left="1506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86"/>
        </w:tabs>
        <w:ind w:left="1506" w:hanging="360"/>
      </w:pPr>
      <w:rPr>
        <w:b w:val="false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  <w:position w:val="0"/>
        <w:sz w:val="24"/>
        <w:sz w:val="24"/>
        <w:i w:val="false"/>
        <w:b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527b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qFormat/>
    <w:rsid w:val="00027951"/>
    <w:pPr>
      <w:keepNext w:val="true"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257bcd"/>
    <w:rPr>
      <w:color w:val="0000FF"/>
      <w:u w:val="single"/>
    </w:rPr>
  </w:style>
  <w:style w:type="character" w:styleId="Style13" w:customStyle="1">
    <w:name w:val="Нижний колонтитул Знак"/>
    <w:link w:val="a7"/>
    <w:qFormat/>
    <w:locked/>
    <w:rsid w:val="009450b0"/>
    <w:rPr>
      <w:sz w:val="24"/>
      <w:szCs w:val="24"/>
      <w:lang w:val="ru-RU" w:eastAsia="ru-RU" w:bidi="ar-SA"/>
    </w:rPr>
  </w:style>
  <w:style w:type="character" w:styleId="Style14" w:customStyle="1">
    <w:name w:val="Текст сноски Знак"/>
    <w:link w:val="aa"/>
    <w:qFormat/>
    <w:locked/>
    <w:rsid w:val="00027951"/>
    <w:rPr>
      <w:rFonts w:eastAsia="Calibri"/>
      <w:lang w:val="ru-RU" w:eastAsia="ru-RU" w:bidi="ar-SA"/>
    </w:rPr>
  </w:style>
  <w:style w:type="character" w:styleId="FootnoteCharacters">
    <w:name w:val="Footnote Characters"/>
    <w:qFormat/>
    <w:rsid w:val="00027951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Style15" w:customStyle="1">
    <w:name w:val="Знак Знак"/>
    <w:qFormat/>
    <w:rsid w:val="00027951"/>
    <w:rPr>
      <w:lang w:val="ru-RU" w:eastAsia="ru-RU" w:bidi="ar-SA"/>
    </w:rPr>
  </w:style>
  <w:style w:type="character" w:styleId="1" w:customStyle="1">
    <w:name w:val="Заголовок 1 Знак"/>
    <w:link w:val="1"/>
    <w:qFormat/>
    <w:rsid w:val="00027951"/>
    <w:rPr>
      <w:b/>
      <w:sz w:val="28"/>
      <w:szCs w:val="48"/>
      <w:lang w:val="ru-RU" w:eastAsia="ru-RU" w:bidi="ar-SA"/>
    </w:rPr>
  </w:style>
  <w:style w:type="character" w:styleId="Style16" w:customStyle="1">
    <w:name w:val="Название Знак"/>
    <w:link w:val="ae"/>
    <w:qFormat/>
    <w:rsid w:val="00027951"/>
    <w:rPr>
      <w:b/>
      <w:sz w:val="24"/>
      <w:lang w:val="ru-RU" w:eastAsia="ar-SA" w:bidi="ar-SA"/>
    </w:rPr>
  </w:style>
  <w:style w:type="character" w:styleId="FontStyle212" w:customStyle="1">
    <w:name w:val="Font Style212"/>
    <w:qFormat/>
    <w:rsid w:val="00834498"/>
    <w:rPr>
      <w:rFonts w:ascii="Times New Roman" w:hAnsi="Times New Roman" w:cs="Times New Roman"/>
      <w:sz w:val="20"/>
      <w:szCs w:val="20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b w:val="false"/>
      <w:color w:val="00000A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  <w:color w:val="00000A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color w:val="FF0000"/>
    </w:rPr>
  </w:style>
  <w:style w:type="character" w:styleId="ListLabel20">
    <w:name w:val="ListLabel 20"/>
    <w:qFormat/>
    <w:rPr>
      <w:color w:val="FF0000"/>
    </w:rPr>
  </w:style>
  <w:style w:type="character" w:styleId="ListLabel21">
    <w:name w:val="ListLabel 21"/>
    <w:qFormat/>
    <w:rPr>
      <w:color w:val="FF0000"/>
    </w:rPr>
  </w:style>
  <w:style w:type="character" w:styleId="ListLabel22">
    <w:name w:val="ListLabel 22"/>
    <w:qFormat/>
    <w:rPr>
      <w:color w:val="FF0000"/>
    </w:rPr>
  </w:style>
  <w:style w:type="character" w:styleId="ListLabel23">
    <w:name w:val="ListLabel 23"/>
    <w:qFormat/>
    <w:rPr>
      <w:color w:val="FF0000"/>
    </w:rPr>
  </w:style>
  <w:style w:type="character" w:styleId="ListLabel24">
    <w:name w:val="ListLabel 24"/>
    <w:qFormat/>
    <w:rPr>
      <w:color w:val="FF0000"/>
    </w:rPr>
  </w:style>
  <w:style w:type="character" w:styleId="ListLabel25">
    <w:name w:val="ListLabel 25"/>
    <w:qFormat/>
    <w:rPr>
      <w:color w:val="FF0000"/>
    </w:rPr>
  </w:style>
  <w:style w:type="character" w:styleId="ListLabel26">
    <w:name w:val="ListLabel 26"/>
    <w:qFormat/>
    <w:rPr>
      <w:color w:val="FF0000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b w:val="false"/>
      <w:color w:val="00000A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b w:val="false"/>
      <w:color w:val="00000A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b/>
      <w:i w:val="false"/>
      <w:position w:val="0"/>
      <w:sz w:val="24"/>
      <w:sz w:val="24"/>
      <w:szCs w:val="24"/>
      <w:vertAlign w:val="baseline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">
    <w:name w:val="ListLabel 46"/>
    <w:qFormat/>
    <w:rPr>
      <w:b/>
      <w:color w:val="00000A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b w:val="false"/>
      <w:color w:val="00000A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b/>
      <w:i w:val="false"/>
      <w:position w:val="0"/>
      <w:sz w:val="24"/>
      <w:sz w:val="24"/>
      <w:szCs w:val="24"/>
      <w:vertAlign w:val="baseline"/>
    </w:rPr>
  </w:style>
  <w:style w:type="character" w:styleId="ListLabel65">
    <w:name w:val="ListLabel 65"/>
    <w:qFormat/>
    <w:rPr>
      <w:b/>
      <w:color w:val="00000A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b w:val="false"/>
      <w:color w:val="00000A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Times New Roman" w:hAnsi="Times New Roman"/>
      <w:b/>
      <w:i w:val="false"/>
      <w:position w:val="0"/>
      <w:sz w:val="24"/>
      <w:sz w:val="24"/>
      <w:szCs w:val="24"/>
      <w:vertAlign w:val="baseline"/>
    </w:rPr>
  </w:style>
  <w:style w:type="character" w:styleId="ListLabel84">
    <w:name w:val="ListLabel 84"/>
    <w:qFormat/>
    <w:rPr>
      <w:color w:val="000000"/>
      <w:sz w:val="23"/>
      <w:szCs w:val="23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rsid w:val="00df00c6"/>
    <w:pPr>
      <w:widowControl w:val="false"/>
    </w:pPr>
    <w:rPr>
      <w:rFonts w:eastAsia="Calibri"/>
      <w:lang w:val="en-US" w:eastAsia="en-US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7" w:customStyle="1">
    <w:name w:val="список с точками"/>
    <w:basedOn w:val="Normal"/>
    <w:qFormat/>
    <w:rsid w:val="001b2373"/>
    <w:pPr>
      <w:tabs>
        <w:tab w:val="left" w:pos="822" w:leader="none"/>
      </w:tabs>
      <w:spacing w:lineRule="auto" w:line="312"/>
      <w:ind w:left="822" w:hanging="255"/>
      <w:jc w:val="both"/>
    </w:pPr>
    <w:rPr/>
  </w:style>
  <w:style w:type="paragraph" w:styleId="ConsPlusNormal" w:customStyle="1">
    <w:name w:val="ConsPlusNormal"/>
    <w:qFormat/>
    <w:rsid w:val="002818f6"/>
    <w:pPr>
      <w:widowControl w:val="false"/>
      <w:bidi w:val="0"/>
      <w:jc w:val="left"/>
    </w:pPr>
    <w:rPr>
      <w:rFonts w:ascii="Arial" w:hAnsi="Arial" w:eastAsia="Calibri" w:cs="Arial"/>
      <w:color w:val="00000A"/>
      <w:kern w:val="0"/>
      <w:sz w:val="24"/>
      <w:szCs w:val="20"/>
      <w:lang w:val="ru-RU" w:eastAsia="ru-RU" w:bidi="ar-SA"/>
    </w:rPr>
  </w:style>
  <w:style w:type="paragraph" w:styleId="Style18" w:customStyle="1">
    <w:name w:val="Жирный центр"/>
    <w:basedOn w:val="Normal"/>
    <w:qFormat/>
    <w:rsid w:val="00257bcd"/>
    <w:pPr>
      <w:keepLines/>
      <w:jc w:val="center"/>
    </w:pPr>
    <w:rPr>
      <w:rFonts w:eastAsia="Arial Unicode MS" w:cs="Arial"/>
      <w:b/>
      <w:szCs w:val="22"/>
    </w:rPr>
  </w:style>
  <w:style w:type="paragraph" w:styleId="Footer">
    <w:name w:val="Footer"/>
    <w:basedOn w:val="Normal"/>
    <w:link w:val="a8"/>
    <w:rsid w:val="009450b0"/>
    <w:pPr>
      <w:tabs>
        <w:tab w:val="center" w:pos="4677" w:leader="none"/>
        <w:tab w:val="right" w:pos="9355" w:leader="none"/>
      </w:tabs>
    </w:pPr>
    <w:rPr/>
  </w:style>
  <w:style w:type="paragraph" w:styleId="Style19" w:customStyle="1">
    <w:name w:val="ДО список нумерованный"/>
    <w:basedOn w:val="Normal"/>
    <w:qFormat/>
    <w:rsid w:val="002b578b"/>
    <w:pPr/>
    <w:rPr/>
  </w:style>
  <w:style w:type="paragraph" w:styleId="Footnote">
    <w:name w:val="Footnote Text"/>
    <w:basedOn w:val="Normal"/>
    <w:link w:val="ab"/>
    <w:rsid w:val="00027951"/>
    <w:pPr>
      <w:jc w:val="both"/>
    </w:pPr>
    <w:rPr>
      <w:rFonts w:eastAsia="Calibri"/>
      <w:sz w:val="20"/>
      <w:szCs w:val="20"/>
    </w:rPr>
  </w:style>
  <w:style w:type="paragraph" w:styleId="Title">
    <w:name w:val="Title"/>
    <w:basedOn w:val="Normal"/>
    <w:link w:val="af0"/>
    <w:qFormat/>
    <w:rsid w:val="00027951"/>
    <w:pPr>
      <w:suppressAutoHyphens w:val="true"/>
      <w:spacing w:before="0" w:after="120"/>
      <w:jc w:val="center"/>
    </w:pPr>
    <w:rPr>
      <w:b/>
      <w:szCs w:val="20"/>
      <w:lang w:eastAsia="ar-SA"/>
    </w:rPr>
  </w:style>
  <w:style w:type="paragraph" w:styleId="Subtitle">
    <w:name w:val="Subtitle"/>
    <w:basedOn w:val="Normal"/>
    <w:qFormat/>
    <w:rsid w:val="00027951"/>
    <w:pPr>
      <w:spacing w:before="0" w:after="60"/>
      <w:jc w:val="center"/>
      <w:outlineLvl w:val="1"/>
    </w:pPr>
    <w:rPr>
      <w:rFonts w:ascii="Arial" w:hAnsi="Arial" w:cs="Arial"/>
    </w:rPr>
  </w:style>
  <w:style w:type="paragraph" w:styleId="Default" w:customStyle="1">
    <w:name w:val="Default"/>
    <w:qFormat/>
    <w:rsid w:val="0083449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Абзац списка1"/>
    <w:basedOn w:val="Normal"/>
    <w:qFormat/>
    <w:rsid w:val="0047410f"/>
    <w:pPr>
      <w:spacing w:lineRule="auto" w:line="276" w:before="0" w:after="160"/>
      <w:ind w:left="720" w:hanging="0"/>
      <w:contextualSpacing/>
    </w:pPr>
    <w:rPr>
      <w:rFonts w:ascii="Calibri" w:hAnsi="Calibri"/>
      <w:sz w:val="21"/>
      <w:szCs w:val="21"/>
    </w:rPr>
  </w:style>
  <w:style w:type="paragraph" w:styleId="12" w:customStyle="1">
    <w:name w:val="Основной текст1"/>
    <w:basedOn w:val="Normal"/>
    <w:qFormat/>
    <w:rsid w:val="00875305"/>
    <w:pPr>
      <w:shd w:val="clear" w:color="auto" w:fill="FFFFFF"/>
      <w:spacing w:lineRule="exact" w:line="264"/>
      <w:ind w:hanging="400"/>
      <w:jc w:val="right"/>
    </w:pPr>
    <w:rPr>
      <w:color w:val="000000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ib.pomorsu.ru/contentfull/gost/gost7.1-2003.doc" TargetMode="External"/><Relationship Id="rId3" Type="http://schemas.openxmlformats.org/officeDocument/2006/relationships/hyperlink" Target="http://lib.pomorsu.ru/contentfull/gost/gost7.82-2001.doc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LibreOffice/6.0.3.2$Linux_X86_64 LibreOffice_project/00m0$Build-2</Application>
  <Pages>19</Pages>
  <Words>3966</Words>
  <Characters>32027</Characters>
  <CharactersWithSpaces>35748</CharactersWithSpaces>
  <Paragraphs>480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2018-03-04T17:57:00Z</dcterms:created>
  <dc:creator>Comp</dc:creator>
  <dc:description/>
  <dc:language>ru-RU</dc:language>
  <cp:lastModifiedBy/>
  <dcterms:modified xsi:type="dcterms:W3CDTF">2018-04-23T02:55:28Z</dcterms:modified>
  <cp:revision>5</cp:revision>
  <dc:subject/>
  <dc:title>МИНИСТЕРСТВО  ОБРАЗОВАНИЯ  И  НАУКИ 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