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9"/>
        <w:gridCol w:w="284"/>
        <w:gridCol w:w="298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Риманова геометрия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Б1.В.ДВ.03.02).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cs="Times New Roman" w:ascii="Times New Roman" w:hAnsi="Times New Roman"/>
          <w:sz w:val="24"/>
          <w:szCs w:val="24"/>
        </w:rPr>
        <w:t>» является формирование математической культуры студента, фундаментальная подготовка по основным разделам теории гладких многообразий и римановой геометрии,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«Риманова геометрия»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2 зачетные единицы, всего 72 ч., из которых 48 ч. составляет контактная работа обучающегося с преподавателем (32 ч. занятий лекционного типа, 16 ч. практических занятий ), 24 ч. составляет самостоятельная работа обучающегося.</w:t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1e0"/>
      </w:tblPr>
      <w:tblGrid>
        <w:gridCol w:w="208"/>
        <w:gridCol w:w="5867"/>
        <w:gridCol w:w="446"/>
        <w:gridCol w:w="445"/>
        <w:gridCol w:w="445"/>
        <w:gridCol w:w="445"/>
        <w:gridCol w:w="446"/>
        <w:gridCol w:w="445"/>
        <w:gridCol w:w="445"/>
        <w:gridCol w:w="446"/>
      </w:tblGrid>
      <w:tr>
        <w:trPr>
          <w:trHeight w:val="201" w:hRule="atLeast"/>
          <w:cantSplit w:val="true"/>
        </w:trPr>
        <w:tc>
          <w:tcPr>
            <w:tcW w:w="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1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6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725" w:hRule="exact"/>
          <w:cantSplit w:val="true"/>
        </w:trPr>
        <w:tc>
          <w:tcPr>
            <w:tcW w:w="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1871" w:hRule="atLeast"/>
        </w:trPr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Аффинные связности и римановы многообразия.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871" w:hRule="atLeast"/>
        </w:trPr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теорию геодезических.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Экспоненциальное отображение. Нормальные окрестности и окрестности Уайтхеда. Локальная минимальность геодезических. Внутренняя метрика. Геодезическая и метрическая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871" w:hRule="atLeast"/>
        </w:trPr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зачет</w:t>
            </w:r>
          </w:p>
        </w:tc>
      </w:tr>
    </w:tbl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зачете.</w:t>
      </w:r>
    </w:p>
    <w:p>
      <w:pPr>
        <w:pStyle w:val="Normal"/>
        <w:pageBreakBefore w:val="false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Используются образовательные технологии в форме лекций и практических занятий.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зачета.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22"/>
        <w:gridCol w:w="815"/>
        <w:gridCol w:w="1406"/>
        <w:gridCol w:w="1281"/>
        <w:gridCol w:w="1145"/>
        <w:gridCol w:w="1199"/>
        <w:gridCol w:w="1145"/>
        <w:gridCol w:w="1156"/>
      </w:tblGrid>
      <w:tr>
        <w:trPr/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4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римановойгеометрии, области их применения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римановойгеометрии,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95"/>
        <w:gridCol w:w="812"/>
        <w:gridCol w:w="1399"/>
        <w:gridCol w:w="1273"/>
        <w:gridCol w:w="1097"/>
        <w:gridCol w:w="1222"/>
        <w:gridCol w:w="1222"/>
        <w:gridCol w:w="1149"/>
      </w:tblGrid>
      <w:tr>
        <w:trPr/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3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римановойгеометрии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Calibri"/>
          <w:lang w:eastAsia="zh-CN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Промежуточный контроль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качества усвоения студентами содержания дисциплины проводится в виде зачета, на котором  определяется: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contextualSpacing/>
        <w:rPr>
          <w:rFonts w:ascii="Calibri" w:hAnsi="Calibri" w:eastAsia="Calibri"/>
          <w:lang w:eastAsia="zh-CN"/>
        </w:rPr>
      </w:pPr>
      <w:r>
        <w:rPr>
          <w:rFonts w:eastAsia="Calibri" w:ascii="Times New Roman" w:hAnsi="Times New Roman"/>
          <w:sz w:val="24"/>
          <w:szCs w:val="24"/>
          <w:lang w:eastAsia="zh-CN"/>
        </w:rPr>
        <w:t>уровень усвоения студентами основного учебного материала по дисциплине;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contextualSpacing/>
        <w:rPr>
          <w:rFonts w:ascii="Calibri" w:hAnsi="Calibri" w:eastAsia="Calibri"/>
          <w:lang w:eastAsia="zh-CN"/>
        </w:rPr>
      </w:pPr>
      <w:r>
        <w:rPr>
          <w:rFonts w:eastAsia="Calibri" w:ascii="Times New Roman" w:hAnsi="Times New Roman"/>
          <w:sz w:val="24"/>
          <w:szCs w:val="24"/>
          <w:lang w:eastAsia="zh-CN"/>
        </w:rPr>
        <w:t>уровень понимания студентами изученного материала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contextualSpacing/>
        <w:rPr>
          <w:rFonts w:ascii="Calibri" w:hAnsi="Calibri" w:eastAsia="Calibri"/>
          <w:lang w:eastAsia="zh-CN"/>
        </w:rPr>
      </w:pPr>
      <w:r>
        <w:rPr>
          <w:rFonts w:eastAsia="Calibri" w:ascii="Times New Roman" w:hAnsi="Times New Roman"/>
          <w:sz w:val="24"/>
          <w:szCs w:val="24"/>
          <w:lang w:eastAsia="zh-CN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  <w:lang w:eastAsia="zh-CN"/>
        </w:rPr>
      </w:pPr>
      <w:r>
        <w:rPr>
          <w:rFonts w:eastAsia="Calibri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Зачет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включает теоретическую и практическую части. Теоретическая часть 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зачета предусматривает разбор практической ситуации (решение задачи).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tbl>
      <w:tblPr>
        <w:tblW w:w="902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25"/>
        <w:gridCol w:w="7498"/>
      </w:tblGrid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Оценка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zh-CN"/>
              </w:rPr>
              <w:t>Уровень подготовки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>Зачтено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>От  минимально достаточного до высокого.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 xml:space="preserve">Выполнение контрольных заданий 60% и больше. 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>Не зачтено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 xml:space="preserve">Подготовка недостаточная, требуется дополнительное изучение материала.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>Выполнение контрольных заданий менее 60%.</w:t>
            </w:r>
          </w:p>
        </w:tc>
      </w:tr>
    </w:tbl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- собеседование.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зачету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Риманова геометрия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576"/>
        <w:gridCol w:w="2768"/>
      </w:tblGrid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 определенное формулой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зачет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ListParagraph"/>
        <w:widowControl w:val="false"/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-284" w:hanging="0"/>
        <w:rPr/>
      </w:pPr>
      <w:r>
        <w:rPr>
          <w:rFonts w:ascii="Times New Roman" w:hAnsi="Times New Roman"/>
          <w:b/>
          <w:sz w:val="24"/>
          <w:szCs w:val="24"/>
        </w:rPr>
        <w:t>8. Материально-техническое обеспечение дисциплины (модуля)</w:t>
      </w:r>
    </w:p>
    <w:p>
      <w:pPr>
        <w:pStyle w:val="Normal"/>
        <w:spacing w:before="0" w:after="0"/>
        <w:ind w:right="-284" w:hanging="0"/>
        <w:rPr/>
      </w:pPr>
      <w:bookmarkStart w:id="2" w:name="__DdeLink__15139_3850606937"/>
      <w:bookmarkEnd w:id="2"/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bookmarkStart w:id="3" w:name="__DdeLink__15139_3850606937"/>
      <w:bookmarkStart w:id="4" w:name="__DdeLink__15139_3850606937"/>
      <w:bookmarkEnd w:id="4"/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и ПрООП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da6db1"/>
    <w:rPr>
      <w:rFonts w:cs="Courier New"/>
    </w:rPr>
  </w:style>
  <w:style w:type="character" w:styleId="ListLabel2" w:customStyle="1">
    <w:name w:val="ListLabel 2"/>
    <w:qFormat/>
    <w:rsid w:val="00da6db1"/>
    <w:rPr>
      <w:rFonts w:cs="Courier New"/>
    </w:rPr>
  </w:style>
  <w:style w:type="character" w:styleId="ListLabel3" w:customStyle="1">
    <w:name w:val="ListLabel 3"/>
    <w:qFormat/>
    <w:rsid w:val="00da6db1"/>
    <w:rPr>
      <w:rFonts w:cs="Courier New"/>
    </w:rPr>
  </w:style>
  <w:style w:type="character" w:styleId="ListLabel4" w:customStyle="1">
    <w:name w:val="ListLabel 4"/>
    <w:qFormat/>
    <w:rsid w:val="00da6db1"/>
    <w:rPr>
      <w:color w:val="00000A"/>
    </w:rPr>
  </w:style>
  <w:style w:type="character" w:styleId="ListLabel5" w:customStyle="1">
    <w:name w:val="ListLabel 5"/>
    <w:qFormat/>
    <w:rsid w:val="00da6db1"/>
    <w:rPr>
      <w:i w:val="false"/>
    </w:rPr>
  </w:style>
  <w:style w:type="character" w:styleId="ListLabel6" w:customStyle="1">
    <w:name w:val="ListLabel 6"/>
    <w:qFormat/>
    <w:rsid w:val="00da6db1"/>
    <w:rPr>
      <w:i w:val="false"/>
    </w:rPr>
  </w:style>
  <w:style w:type="character" w:styleId="ListLabel7" w:customStyle="1">
    <w:name w:val="ListLabel 7"/>
    <w:qFormat/>
    <w:rsid w:val="00da6db1"/>
    <w:rPr>
      <w:i w:val="false"/>
    </w:rPr>
  </w:style>
  <w:style w:type="character" w:styleId="ListLabel8" w:customStyle="1">
    <w:name w:val="ListLabel 8"/>
    <w:qFormat/>
    <w:rsid w:val="00da6db1"/>
    <w:rPr>
      <w:i w:val="false"/>
    </w:rPr>
  </w:style>
  <w:style w:type="character" w:styleId="ListLabel9" w:customStyle="1">
    <w:name w:val="ListLabel 9"/>
    <w:qFormat/>
    <w:rsid w:val="00da6db1"/>
    <w:rPr>
      <w:i w:val="false"/>
    </w:rPr>
  </w:style>
  <w:style w:type="character" w:styleId="ListLabel10" w:customStyle="1">
    <w:name w:val="ListLabel 10"/>
    <w:qFormat/>
    <w:rsid w:val="00da6db1"/>
    <w:rPr>
      <w:i w:val="false"/>
    </w:rPr>
  </w:style>
  <w:style w:type="character" w:styleId="ListLabel11" w:customStyle="1">
    <w:name w:val="ListLabel 11"/>
    <w:qFormat/>
    <w:rsid w:val="00da6db1"/>
    <w:rPr>
      <w:i w:val="false"/>
    </w:rPr>
  </w:style>
  <w:style w:type="character" w:styleId="ListLabel12" w:customStyle="1">
    <w:name w:val="ListLabel 12"/>
    <w:qFormat/>
    <w:rsid w:val="00da6db1"/>
    <w:rPr>
      <w:i w:val="false"/>
    </w:rPr>
  </w:style>
  <w:style w:type="character" w:styleId="ListLabel13" w:customStyle="1">
    <w:name w:val="ListLabel 13"/>
    <w:qFormat/>
    <w:rsid w:val="00da6db1"/>
    <w:rPr>
      <w:rFonts w:cs="Courier New"/>
    </w:rPr>
  </w:style>
  <w:style w:type="character" w:styleId="ListLabel14" w:customStyle="1">
    <w:name w:val="ListLabel 14"/>
    <w:qFormat/>
    <w:rsid w:val="00da6db1"/>
    <w:rPr>
      <w:rFonts w:cs="Courier New"/>
    </w:rPr>
  </w:style>
  <w:style w:type="character" w:styleId="ListLabel15" w:customStyle="1">
    <w:name w:val="ListLabel 15"/>
    <w:qFormat/>
    <w:rsid w:val="00da6db1"/>
    <w:rPr>
      <w:rFonts w:cs="Courier New"/>
    </w:rPr>
  </w:style>
  <w:style w:type="character" w:styleId="ListLabel16" w:customStyle="1">
    <w:name w:val="ListLabel 16"/>
    <w:qFormat/>
    <w:rsid w:val="00da6db1"/>
    <w:rPr>
      <w:rFonts w:eastAsia="Calibri" w:cs="Times New Roman"/>
    </w:rPr>
  </w:style>
  <w:style w:type="character" w:styleId="ListLabel17" w:customStyle="1">
    <w:name w:val="ListLabel 17"/>
    <w:qFormat/>
    <w:rsid w:val="00da6db1"/>
    <w:rPr>
      <w:rFonts w:cs="Courier New"/>
    </w:rPr>
  </w:style>
  <w:style w:type="character" w:styleId="ListLabel18" w:customStyle="1">
    <w:name w:val="ListLabel 18"/>
    <w:qFormat/>
    <w:rsid w:val="00da6db1"/>
    <w:rPr>
      <w:rFonts w:cs="Courier New"/>
    </w:rPr>
  </w:style>
  <w:style w:type="character" w:styleId="ListLabel19" w:customStyle="1">
    <w:name w:val="ListLabel 19"/>
    <w:qFormat/>
    <w:rsid w:val="00da6db1"/>
    <w:rPr>
      <w:rFonts w:cs="Courier New"/>
    </w:rPr>
  </w:style>
  <w:style w:type="character" w:styleId="ListLabel20" w:customStyle="1">
    <w:name w:val="ListLabel 20"/>
    <w:qFormat/>
    <w:rsid w:val="00da6db1"/>
    <w:rPr>
      <w:rFonts w:eastAsia="Calibri" w:cs="Times New Roman"/>
    </w:rPr>
  </w:style>
  <w:style w:type="character" w:styleId="ListLabel21" w:customStyle="1">
    <w:name w:val="ListLabel 21"/>
    <w:qFormat/>
    <w:rsid w:val="00da6db1"/>
    <w:rPr>
      <w:rFonts w:cs="Courier New"/>
    </w:rPr>
  </w:style>
  <w:style w:type="character" w:styleId="ListLabel22" w:customStyle="1">
    <w:name w:val="ListLabel 22"/>
    <w:qFormat/>
    <w:rsid w:val="00da6db1"/>
    <w:rPr>
      <w:rFonts w:cs="Courier New"/>
    </w:rPr>
  </w:style>
  <w:style w:type="character" w:styleId="ListLabel23" w:customStyle="1">
    <w:name w:val="ListLabel 23"/>
    <w:qFormat/>
    <w:rsid w:val="00da6db1"/>
    <w:rPr>
      <w:rFonts w:cs="Courier New"/>
    </w:rPr>
  </w:style>
  <w:style w:type="character" w:styleId="ListLabel24" w:customStyle="1">
    <w:name w:val="ListLabel 24"/>
    <w:qFormat/>
    <w:rsid w:val="00da6db1"/>
    <w:rPr>
      <w:sz w:val="24"/>
      <w:szCs w:val="24"/>
    </w:rPr>
  </w:style>
  <w:style w:type="character" w:styleId="ListLabel25" w:customStyle="1">
    <w:name w:val="ListLabel 25"/>
    <w:qFormat/>
    <w:rsid w:val="00da6db1"/>
    <w:rPr>
      <w:b/>
    </w:rPr>
  </w:style>
  <w:style w:type="character" w:styleId="ListLabel26" w:customStyle="1">
    <w:name w:val="ListLabel 26"/>
    <w:qFormat/>
    <w:rsid w:val="00da6db1"/>
    <w:rPr>
      <w:sz w:val="24"/>
      <w:szCs w:val="24"/>
    </w:rPr>
  </w:style>
  <w:style w:type="character" w:styleId="ListLabel27" w:customStyle="1">
    <w:name w:val="ListLabel 27"/>
    <w:qFormat/>
    <w:rsid w:val="00da6db1"/>
    <w:rPr>
      <w:sz w:val="24"/>
      <w:szCs w:val="24"/>
    </w:rPr>
  </w:style>
  <w:style w:type="character" w:styleId="ListLabel28" w:customStyle="1">
    <w:name w:val="ListLabel 28"/>
    <w:qFormat/>
    <w:rsid w:val="00da6db1"/>
    <w:rPr>
      <w:sz w:val="24"/>
      <w:szCs w:val="24"/>
    </w:rPr>
  </w:style>
  <w:style w:type="character" w:styleId="ListLabel29" w:customStyle="1">
    <w:name w:val="ListLabel 29"/>
    <w:qFormat/>
    <w:rsid w:val="00da6db1"/>
    <w:rPr>
      <w:sz w:val="24"/>
      <w:szCs w:val="24"/>
    </w:rPr>
  </w:style>
  <w:style w:type="character" w:styleId="ListLabel30" w:customStyle="1">
    <w:name w:val="ListLabel 30"/>
    <w:qFormat/>
    <w:rsid w:val="00da6db1"/>
    <w:rPr>
      <w:sz w:val="24"/>
      <w:szCs w:val="24"/>
    </w:rPr>
  </w:style>
  <w:style w:type="character" w:styleId="ListLabel31" w:customStyle="1">
    <w:name w:val="ListLabel 31"/>
    <w:qFormat/>
    <w:rsid w:val="00da6db1"/>
    <w:rPr>
      <w:b w:val="false"/>
    </w:rPr>
  </w:style>
  <w:style w:type="character" w:styleId="ListLabel32" w:customStyle="1">
    <w:name w:val="ListLabel 32"/>
    <w:qFormat/>
    <w:rsid w:val="00da6db1"/>
    <w:rPr>
      <w:color w:val="00000A"/>
    </w:rPr>
  </w:style>
  <w:style w:type="character" w:styleId="ListLabel33" w:customStyle="1">
    <w:name w:val="ListLabel 33"/>
    <w:qFormat/>
    <w:rsid w:val="00da6db1"/>
    <w:rPr>
      <w:i w:val="false"/>
    </w:rPr>
  </w:style>
  <w:style w:type="character" w:styleId="ListLabel34" w:customStyle="1">
    <w:name w:val="ListLabel 34"/>
    <w:qFormat/>
    <w:rsid w:val="00da6db1"/>
    <w:rPr>
      <w:i w:val="false"/>
    </w:rPr>
  </w:style>
  <w:style w:type="character" w:styleId="ListLabel35" w:customStyle="1">
    <w:name w:val="ListLabel 35"/>
    <w:qFormat/>
    <w:rsid w:val="00da6db1"/>
    <w:rPr>
      <w:i w:val="false"/>
    </w:rPr>
  </w:style>
  <w:style w:type="character" w:styleId="ListLabel36" w:customStyle="1">
    <w:name w:val="ListLabel 36"/>
    <w:qFormat/>
    <w:rsid w:val="00da6db1"/>
    <w:rPr>
      <w:i w:val="false"/>
    </w:rPr>
  </w:style>
  <w:style w:type="character" w:styleId="ListLabel37" w:customStyle="1">
    <w:name w:val="ListLabel 37"/>
    <w:qFormat/>
    <w:rsid w:val="00da6db1"/>
    <w:rPr>
      <w:i w:val="false"/>
    </w:rPr>
  </w:style>
  <w:style w:type="character" w:styleId="ListLabel38" w:customStyle="1">
    <w:name w:val="ListLabel 38"/>
    <w:qFormat/>
    <w:rsid w:val="00da6db1"/>
    <w:rPr>
      <w:i w:val="false"/>
    </w:rPr>
  </w:style>
  <w:style w:type="character" w:styleId="ListLabel39" w:customStyle="1">
    <w:name w:val="ListLabel 39"/>
    <w:qFormat/>
    <w:rsid w:val="00da6db1"/>
    <w:rPr>
      <w:i w:val="false"/>
    </w:rPr>
  </w:style>
  <w:style w:type="character" w:styleId="ListLabel40" w:customStyle="1">
    <w:name w:val="ListLabel 40"/>
    <w:qFormat/>
    <w:rsid w:val="00da6db1"/>
    <w:rPr>
      <w:i w:val="false"/>
    </w:rPr>
  </w:style>
  <w:style w:type="character" w:styleId="ListLabel41" w:customStyle="1">
    <w:name w:val="ListLabel 41"/>
    <w:qFormat/>
    <w:rsid w:val="00da6db1"/>
    <w:rPr>
      <w:b w:val="false"/>
    </w:rPr>
  </w:style>
  <w:style w:type="character" w:styleId="ListLabel42" w:customStyle="1">
    <w:name w:val="ListLabel 42"/>
    <w:qFormat/>
    <w:rsid w:val="00da6db1"/>
    <w:rPr>
      <w:b w:val="false"/>
    </w:rPr>
  </w:style>
  <w:style w:type="character" w:styleId="ListLabel43" w:customStyle="1">
    <w:name w:val="ListLabel 43"/>
    <w:qFormat/>
    <w:rsid w:val="00da6db1"/>
    <w:rPr>
      <w:b w:val="false"/>
    </w:rPr>
  </w:style>
  <w:style w:type="character" w:styleId="ListLabel44" w:customStyle="1">
    <w:name w:val="ListLabel 44"/>
    <w:qFormat/>
    <w:rsid w:val="00da6db1"/>
    <w:rPr>
      <w:rFonts w:cs="Courier New"/>
    </w:rPr>
  </w:style>
  <w:style w:type="character" w:styleId="ListLabel45" w:customStyle="1">
    <w:name w:val="ListLabel 45"/>
    <w:qFormat/>
    <w:rsid w:val="00da6db1"/>
    <w:rPr>
      <w:rFonts w:cs="Courier New"/>
    </w:rPr>
  </w:style>
  <w:style w:type="character" w:styleId="ListLabel46" w:customStyle="1">
    <w:name w:val="ListLabel 46"/>
    <w:qFormat/>
    <w:rsid w:val="00da6db1"/>
    <w:rPr>
      <w:rFonts w:cs="Courier New"/>
    </w:rPr>
  </w:style>
  <w:style w:type="character" w:styleId="ListLabel47" w:customStyle="1">
    <w:name w:val="ListLabel 47"/>
    <w:qFormat/>
    <w:rsid w:val="00da6db1"/>
    <w:rPr>
      <w:b/>
      <w:sz w:val="24"/>
    </w:rPr>
  </w:style>
  <w:style w:type="character" w:styleId="ListLabel48" w:customStyle="1">
    <w:name w:val="ListLabel 48"/>
    <w:qFormat/>
    <w:rsid w:val="00da6db1"/>
    <w:rPr>
      <w:b/>
      <w:sz w:val="24"/>
    </w:rPr>
  </w:style>
  <w:style w:type="character" w:styleId="ListLabel49" w:customStyle="1">
    <w:name w:val="ListLabel 49"/>
    <w:qFormat/>
    <w:rsid w:val="00da6db1"/>
    <w:rPr>
      <w:b/>
      <w:sz w:val="24"/>
    </w:rPr>
  </w:style>
  <w:style w:type="character" w:styleId="ListLabel50" w:customStyle="1">
    <w:name w:val="ListLabel 50"/>
    <w:qFormat/>
    <w:rsid w:val="00da6db1"/>
    <w:rPr>
      <w:b/>
      <w:sz w:val="24"/>
    </w:rPr>
  </w:style>
  <w:style w:type="character" w:styleId="ListLabel51" w:customStyle="1">
    <w:name w:val="ListLabel 51"/>
    <w:qFormat/>
    <w:rsid w:val="00da6db1"/>
    <w:rPr>
      <w:b/>
      <w:sz w:val="24"/>
    </w:rPr>
  </w:style>
  <w:style w:type="character" w:styleId="ListLabel52" w:customStyle="1">
    <w:name w:val="ListLabel 52"/>
    <w:qFormat/>
    <w:rsid w:val="00da6db1"/>
    <w:rPr>
      <w:b/>
      <w:sz w:val="24"/>
    </w:rPr>
  </w:style>
  <w:style w:type="character" w:styleId="ListLabel53" w:customStyle="1">
    <w:name w:val="ListLabel 53"/>
    <w:qFormat/>
    <w:rsid w:val="00da6db1"/>
    <w:rPr>
      <w:b/>
      <w:sz w:val="24"/>
    </w:rPr>
  </w:style>
  <w:style w:type="character" w:styleId="ListLabel54" w:customStyle="1">
    <w:name w:val="ListLabel 54"/>
    <w:qFormat/>
    <w:rsid w:val="00da6db1"/>
    <w:rPr>
      <w:b/>
      <w:sz w:val="24"/>
    </w:rPr>
  </w:style>
  <w:style w:type="character" w:styleId="ListLabel55" w:customStyle="1">
    <w:name w:val="ListLabel 55"/>
    <w:qFormat/>
    <w:rsid w:val="00da6db1"/>
    <w:rPr>
      <w:b/>
      <w:sz w:val="24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1712ff"/>
    <w:rPr>
      <w:rFonts w:ascii="Tahoma" w:hAnsi="Tahoma" w:cs="Tahoma"/>
      <w:sz w:val="16"/>
      <w:szCs w:val="16"/>
      <w:lang w:eastAsia="ru-RU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Calibri" w:hAnsi="Calibri" w:cs="Symbol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da6db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da6db1"/>
    <w:pPr>
      <w:spacing w:lineRule="auto" w:line="288" w:before="0" w:after="140"/>
    </w:pPr>
    <w:rPr/>
  </w:style>
  <w:style w:type="paragraph" w:styleId="List">
    <w:name w:val="List"/>
    <w:basedOn w:val="TextBody"/>
    <w:rsid w:val="00da6db1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da6db1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da6d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da6db1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1712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412D-0D60-4C4D-ACFE-03B7670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LibreOffice/6.0.2.1$Linux_X86_64 LibreOffice_project/00m0$Build-1</Application>
  <Pages>11</Pages>
  <Words>2142</Words>
  <Characters>15736</Characters>
  <CharactersWithSpaces>17659</CharactersWithSpaces>
  <Paragraphs>307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2018-02-22T19:05:00Z</dcterms:created>
  <dc:creator>Nikolai Yu. Zolotykh</dc:creator>
  <dc:description/>
  <dc:language>ru-RU</dc:language>
  <cp:lastModifiedBy/>
  <cp:lastPrinted>2016-09-20T14:17:00Z</cp:lastPrinted>
  <dcterms:modified xsi:type="dcterms:W3CDTF">2018-04-03T01:03:11Z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